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none" w:color="FFFFFF" w:sz="0"/>
          <w:left w:val="none" w:color="FFFFFF" w:sz="0"/>
          <w:bottom w:val="none" w:color="FFFFFF" w:sz="0"/>
          <w:right w:val="none" w:color="FFFFFF" w:sz="0"/>
          <w:insideH w:val="none" w:color="FFFFFF" w:sz="0"/>
          <w:insideV w:val="none" w:color="FFFFFF" w:sz="0"/>
        </w:tblBorders>
      </w:tblPr>
      <w:tblGrid>
        <w:gridCol w:w="11906"/>
      </w:tblGrid>
      <w:tr>
        <w:tc>
          <w:tcPr>
            <w:tcW w:type="dxa" w:w="11906"/>
            <w:shd w:fill="0A1633" w:color="auto" w:val="clear"/>
            <w:tcMar>
              <w:top w:type="dxa" w:w="1250"/>
              <w:left w:type="dxa" w:w="1134"/>
              <w:bottom w:type="dxa" w:w="560"/>
              <w:right w:type="dxa" w:w="1134"/>
            </w:tcMar>
            <w:vAlign w:val="top"/>
          </w:tcPr>
          <w:p>
            <w:pPr>
              <w:spacing w:after="30" w:before="0" w:line="264"/>
              <w:jc w:val="left"/>
            </w:pPr>
            <w:r>
              <w:rPr>
                <w:rFonts w:ascii="맑은 고딕" w:cs="맑은 고딕" w:eastAsia="맑은 고딕" w:hAnsi="맑은 고딕"/>
                <w:b/>
                <w:bCs/>
                <w:color w:val="FFFFFF"/>
                <w:spacing w:val="60"/>
                <w:sz w:val="15"/>
                <w:szCs w:val="15"/>
              </w:rPr>
              <w:t xml:space="preserve">POHANG UNITED TECHNOLOGY HOLDINGS</w:t>
            </w:r>
          </w:p>
          <w:p>
            <w:pPr>
              <w:spacing w:after="1900" w:before="0" w:line="264"/>
              <w:jc w:val="left"/>
            </w:pPr>
            <w:r>
              <w:rPr>
                <w:rFonts w:ascii="맑은 고딕" w:cs="맑은 고딕" w:eastAsia="맑은 고딕" w:hAnsi="맑은 고딕"/>
                <w:color w:val="9CC0FF"/>
                <w:sz w:val="15"/>
                <w:szCs w:val="15"/>
              </w:rPr>
              <w:t xml:space="preserve">㈜포항연합기술지주</w:t>
            </w:r>
          </w:p>
          <w:p>
            <w:pPr>
              <w:spacing w:after="140" w:before="0" w:line="264"/>
              <w:jc w:val="left"/>
            </w:pPr>
            <w:r>
              <w:rPr>
                <w:rFonts w:ascii="맑은 고딕" w:cs="맑은 고딕" w:eastAsia="맑은 고딕" w:hAnsi="맑은 고딕"/>
                <w:b/>
                <w:bCs/>
                <w:color w:val="9CC0FF"/>
                <w:spacing w:val="80"/>
                <w:sz w:val="18"/>
                <w:szCs w:val="18"/>
              </w:rPr>
              <w:t xml:space="preserve">COMPANY ANALYSIS REPORT</w:t>
            </w:r>
          </w:p>
          <w:p>
            <w:pPr>
              <w:pBdr>
                <w:bottom w:val="single" w:color="2F6BFF" w:sz="36"/>
              </w:pBdr>
              <w:spacing w:after="360"/>
              <w:ind w:right="8538"/>
            </w:pPr>
          </w:p>
          <w:p>
            <w:pPr>
              <w:spacing w:after="60" w:before="0" w:line="900"/>
              <w:jc w:val="left"/>
            </w:pPr>
            <w:r>
              <w:rPr>
                <w:rFonts w:ascii="맑은 고딕" w:cs="맑은 고딕" w:eastAsia="맑은 고딕" w:hAnsi="맑은 고딕"/>
                <w:b/>
                <w:bCs/>
                <w:color w:val="FFFFFF"/>
                <w:sz w:val="84"/>
                <w:szCs w:val="84"/>
              </w:rPr>
              <w:t xml:space="preserve">한결팩토리</w:t>
            </w:r>
          </w:p>
          <w:p>
            <w:pPr>
              <w:spacing w:after="260" w:before="0" w:line="520"/>
              <w:jc w:val="left"/>
            </w:pPr>
            <w:r>
              <w:rPr>
                <w:rFonts w:ascii="맑은 고딕" w:cs="맑은 고딕" w:eastAsia="맑은 고딕" w:hAnsi="맑은 고딕"/>
                <w:color w:val="FFFFFF"/>
                <w:sz w:val="44"/>
                <w:szCs w:val="44"/>
              </w:rPr>
              <w:t xml:space="preserve">기업 경영진단 분석 보고서</w:t>
            </w:r>
          </w:p>
          <w:p>
            <w:pPr>
              <w:spacing w:after="90" w:before="0" w:line="264"/>
              <w:jc w:val="left"/>
            </w:pPr>
            <w:r>
              <w:rPr>
                <w:rFonts w:ascii="맑은 고딕" w:cs="맑은 고딕" w:eastAsia="맑은 고딕" w:hAnsi="맑은 고딕"/>
                <w:color w:val="9CC0FF"/>
                <w:sz w:val="19"/>
                <w:szCs w:val="19"/>
              </w:rPr>
              <w:t xml:space="preserve">Hangyeol Factory Inc.   |   제조 품질 분석 SaaS 「팩토리뷰」</w:t>
            </w:r>
          </w:p>
          <w:p>
            <w:pPr>
              <w:spacing w:after="1500" w:before="0" w:line="264"/>
              <w:jc w:val="left"/>
            </w:pPr>
            <w:r>
              <w:rPr>
                <w:rFonts w:ascii="맑은 고딕" w:cs="맑은 고딕" w:eastAsia="맑은 고딕" w:hAnsi="맑은 고딕"/>
                <w:color w:val="C9D6EE"/>
                <w:sz w:val="19"/>
                <w:szCs w:val="19"/>
              </w:rPr>
              <w:t xml:space="preserve">액셀러레이팅 프로그램 운영 및 성장과제 도출 예시</w:t>
            </w:r>
          </w:p>
          <w:tbl>
            <w:tblPr>
              <w:tblW w:type="dxa" w:w="9638"/>
              <w:tblBorders>
                <w:top w:val="single" w:color="3A4A6B" w:sz="6"/>
                <w:left w:val="none" w:color="FFFFFF" w:sz="0"/>
                <w:bottom w:val="none" w:color="FFFFFF" w:sz="0"/>
                <w:right w:val="none" w:color="FFFFFF" w:sz="0"/>
                <w:insideH w:val="none" w:color="FFFFFF" w:sz="0"/>
                <w:insideV w:val="none" w:color="FFFFFF" w:sz="0"/>
              </w:tblBorders>
            </w:tblPr>
            <w:tblGrid>
              <w:gridCol w:w="2409"/>
              <w:gridCol w:w="2409"/>
              <w:gridCol w:w="2409"/>
              <w:gridCol w:w="2411"/>
            </w:tblGrid>
            <w:tr>
              <w:tc>
                <w:tcPr>
                  <w:tcW w:type="dxa" w:w="2409"/>
                  <w:tcMar>
                    <w:top w:type="dxa" w:w="200"/>
                    <w:left w:type="dxa" w:w="0"/>
                    <w:bottom w:type="dxa" w:w="0"/>
                    <w:right w:type="dxa" w:w="110"/>
                  </w:tcMar>
                  <w:vAlign w:val="center"/>
                </w:tcPr>
                <w:p>
                  <w:pPr>
                    <w:spacing w:after="40" w:before="0" w:line="264"/>
                    <w:jc w:val="left"/>
                  </w:pPr>
                  <w:r>
                    <w:rPr>
                      <w:rFonts w:ascii="맑은 고딕" w:cs="맑은 고딕" w:eastAsia="맑은 고딕" w:hAnsi="맑은 고딕"/>
                      <w:b/>
                      <w:bCs/>
                      <w:color w:val="9CC0FF"/>
                      <w:spacing w:val="20"/>
                      <w:sz w:val="14"/>
                      <w:szCs w:val="14"/>
                    </w:rPr>
                    <w:t xml:space="preserve">설립</w:t>
                  </w:r>
                </w:p>
                <w:p>
                  <w:pPr>
                    <w:spacing w:after="0" w:before="0" w:line="264"/>
                    <w:jc w:val="left"/>
                  </w:pPr>
                  <w:r>
                    <w:rPr>
                      <w:rFonts w:ascii="맑은 고딕" w:cs="맑은 고딕" w:eastAsia="맑은 고딕" w:hAnsi="맑은 고딕"/>
                      <w:b/>
                      <w:bCs/>
                      <w:color w:val="FFFFFF"/>
                      <w:sz w:val="22"/>
                      <w:szCs w:val="22"/>
                    </w:rPr>
                    <w:t xml:space="preserve">2023년 4월</w:t>
                  </w:r>
                </w:p>
              </w:tc>
              <w:tc>
                <w:tcPr>
                  <w:tcW w:type="dxa" w:w="2409"/>
                  <w:tcMar>
                    <w:top w:type="dxa" w:w="200"/>
                    <w:left w:type="dxa" w:w="0"/>
                    <w:bottom w:type="dxa" w:w="0"/>
                    <w:right w:type="dxa" w:w="110"/>
                  </w:tcMar>
                  <w:vAlign w:val="center"/>
                </w:tcPr>
                <w:p>
                  <w:pPr>
                    <w:spacing w:after="40" w:before="0" w:line="264"/>
                    <w:jc w:val="left"/>
                  </w:pPr>
                  <w:r>
                    <w:rPr>
                      <w:rFonts w:ascii="맑은 고딕" w:cs="맑은 고딕" w:eastAsia="맑은 고딕" w:hAnsi="맑은 고딕"/>
                      <w:b/>
                      <w:bCs/>
                      <w:color w:val="9CC0FF"/>
                      <w:spacing w:val="20"/>
                      <w:sz w:val="14"/>
                      <w:szCs w:val="14"/>
                    </w:rPr>
                    <w:t xml:space="preserve">소재지</w:t>
                  </w:r>
                </w:p>
                <w:p>
                  <w:pPr>
                    <w:spacing w:after="0" w:before="0" w:line="264"/>
                    <w:jc w:val="left"/>
                  </w:pPr>
                  <w:r>
                    <w:rPr>
                      <w:rFonts w:ascii="맑은 고딕" w:cs="맑은 고딕" w:eastAsia="맑은 고딕" w:hAnsi="맑은 고딕"/>
                      <w:b/>
                      <w:bCs/>
                      <w:color w:val="FFFFFF"/>
                      <w:sz w:val="22"/>
                      <w:szCs w:val="22"/>
                    </w:rPr>
                    <w:t xml:space="preserve">경기도 수원시</w:t>
                  </w:r>
                </w:p>
              </w:tc>
              <w:tc>
                <w:tcPr>
                  <w:tcW w:type="dxa" w:w="2409"/>
                  <w:tcMar>
                    <w:top w:type="dxa" w:w="200"/>
                    <w:left w:type="dxa" w:w="0"/>
                    <w:bottom w:type="dxa" w:w="0"/>
                    <w:right w:type="dxa" w:w="110"/>
                  </w:tcMar>
                  <w:vAlign w:val="center"/>
                </w:tcPr>
                <w:p>
                  <w:pPr>
                    <w:spacing w:after="40" w:before="0" w:line="264"/>
                    <w:jc w:val="left"/>
                  </w:pPr>
                  <w:r>
                    <w:rPr>
                      <w:rFonts w:ascii="맑은 고딕" w:cs="맑은 고딕" w:eastAsia="맑은 고딕" w:hAnsi="맑은 고딕"/>
                      <w:b/>
                      <w:bCs/>
                      <w:color w:val="9CC0FF"/>
                      <w:spacing w:val="20"/>
                      <w:sz w:val="14"/>
                      <w:szCs w:val="14"/>
                    </w:rPr>
                    <w:t xml:space="preserve">상시 근로자</w:t>
                  </w:r>
                </w:p>
                <w:p>
                  <w:pPr>
                    <w:spacing w:after="0" w:before="0" w:line="264"/>
                    <w:jc w:val="left"/>
                  </w:pPr>
                  <w:r>
                    <w:rPr>
                      <w:rFonts w:ascii="맑은 고딕" w:cs="맑은 고딕" w:eastAsia="맑은 고딕" w:hAnsi="맑은 고딕"/>
                      <w:b/>
                      <w:bCs/>
                      <w:color w:val="FFFFFF"/>
                      <w:sz w:val="22"/>
                      <w:szCs w:val="22"/>
                    </w:rPr>
                    <w:t xml:space="preserve">12명</w:t>
                  </w:r>
                </w:p>
              </w:tc>
              <w:tc>
                <w:tcPr>
                  <w:tcW w:type="dxa" w:w="2411"/>
                  <w:tcMar>
                    <w:top w:type="dxa" w:w="200"/>
                    <w:left w:type="dxa" w:w="0"/>
                    <w:bottom w:type="dxa" w:w="0"/>
                    <w:right w:type="dxa" w:w="110"/>
                  </w:tcMar>
                  <w:vAlign w:val="center"/>
                </w:tcPr>
                <w:p>
                  <w:pPr>
                    <w:spacing w:after="40" w:before="0" w:line="264"/>
                    <w:jc w:val="left"/>
                  </w:pPr>
                  <w:r>
                    <w:rPr>
                      <w:rFonts w:ascii="맑은 고딕" w:cs="맑은 고딕" w:eastAsia="맑은 고딕" w:hAnsi="맑은 고딕"/>
                      <w:b/>
                      <w:bCs/>
                      <w:color w:val="9CC0FF"/>
                      <w:spacing w:val="20"/>
                      <w:sz w:val="14"/>
                      <w:szCs w:val="14"/>
                    </w:rPr>
                    <w:t xml:space="preserve">유료 고객</w:t>
                  </w:r>
                </w:p>
                <w:p>
                  <w:pPr>
                    <w:spacing w:after="0" w:before="0" w:line="264"/>
                    <w:jc w:val="left"/>
                  </w:pPr>
                  <w:r>
                    <w:rPr>
                      <w:rFonts w:ascii="맑은 고딕" w:cs="맑은 고딕" w:eastAsia="맑은 고딕" w:hAnsi="맑은 고딕"/>
                      <w:b/>
                      <w:bCs/>
                      <w:color w:val="FFFFFF"/>
                      <w:sz w:val="22"/>
                      <w:szCs w:val="22"/>
                    </w:rPr>
                    <w:t xml:space="preserve">18개사</w:t>
                  </w:r>
                </w:p>
              </w:tc>
            </w:tr>
          </w:tbl>
          <w:p>
            <w:pPr>
              <w:spacing w:after="120" w:before="0" w:line="264"/>
              <w:jc w:val="left"/>
            </w:pPr>
          </w:p>
        </w:tc>
      </w:tr>
      <w:tr>
        <w:trPr>
          <w:trHeight w:val="110" w:hRule="exact"/>
        </w:trPr>
        <w:tc>
          <w:tcPr>
            <w:tcW w:type="dxa" w:w="11906"/>
            <w:shd w:fill="2F6BFF" w:color="auto" w:val="clear"/>
            <w:tcMar>
              <w:top w:type="dxa" w:w="0"/>
              <w:left w:type="dxa" w:w="110"/>
              <w:bottom w:type="dxa" w:w="0"/>
              <w:right w:type="dxa" w:w="110"/>
            </w:tcMar>
            <w:vAlign w:val="center"/>
          </w:tcPr>
          <w:p>
            <w:pPr>
              <w:spacing w:after="0" w:before="0" w:line="264"/>
              <w:jc w:val="left"/>
            </w:pPr>
          </w:p>
        </w:tc>
      </w:tr>
    </w:tbl>
    <w:p>
      <w:pPr>
        <w:pBdr>
          <w:left w:val="single" w:color="2F6BFF" w:sz="30" w:space="12"/>
        </w:pBdr>
        <w:spacing w:after="120" w:before="520" w:line="400"/>
        <w:ind w:left="1334" w:right="1134"/>
      </w:pPr>
      <w:r>
        <w:rPr>
          <w:rFonts w:ascii="맑은 고딕" w:cs="맑은 고딕" w:eastAsia="맑은 고딕" w:hAnsi="맑은 고딕"/>
          <w:b/>
          <w:bCs/>
          <w:color w:val="2F6BFF"/>
          <w:spacing w:val="40"/>
          <w:sz w:val="16"/>
          <w:szCs w:val="16"/>
        </w:rPr>
        <w:t xml:space="preserve">종합 의견</w:t>
      </w:r>
    </w:p>
    <w:p>
      <w:pPr>
        <w:pBdr>
          <w:left w:val="single" w:color="2F6BFF" w:sz="30" w:space="12"/>
        </w:pBdr>
        <w:spacing w:after="420" w:before="0" w:line="400"/>
        <w:ind w:left="1334" w:right="1134"/>
      </w:pPr>
      <w:r>
        <w:rPr>
          <w:rFonts w:ascii="맑은 고딕" w:cs="맑은 고딕" w:eastAsia="맑은 고딕" w:hAnsi="맑은 고딕"/>
          <w:b/>
          <w:bCs/>
          <w:color w:val="111111"/>
          <w:sz w:val="25"/>
          <w:szCs w:val="25"/>
        </w:rPr>
        <w:t xml:space="preserve">향후 6개월은 신규 시장 확대보다 표준 상품의 반복 판매와 현금흐름 관리에 집중하는 것이 적절하다.</w:t>
      </w:r>
    </w:p>
    <w:p>
      <w:pPr>
        <w:spacing w:after="100" w:before="0"/>
        <w:ind w:left="1134" w:right="1134"/>
      </w:pPr>
      <w:r>
        <w:rPr>
          <w:rFonts w:ascii="맑은 고딕" w:cs="맑은 고딕" w:eastAsia="맑은 고딕" w:hAnsi="맑은 고딕"/>
          <w:b/>
          <w:bCs/>
          <w:color w:val="2F6BFF"/>
          <w:spacing w:val="30"/>
          <w:sz w:val="16"/>
          <w:szCs w:val="16"/>
        </w:rPr>
        <w:t xml:space="preserve">영역별 진단 판정</w:t>
      </w:r>
    </w:p>
    <w:tbl>
      <w:tblPr>
        <w:tblW w:type="dxa" w:w="9638"/>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1927"/>
        <w:gridCol w:w="1927"/>
        <w:gridCol w:w="1927"/>
        <w:gridCol w:w="1927"/>
        <w:gridCol w:w="1930"/>
      </w:tblGrid>
      <w:tr>
        <w:tc>
          <w:tcPr>
            <w:tcW w:type="dxa" w:w="1927"/>
            <w:tcBorders>
              <w:top w:val="none" w:color="FFFFFF" w:sz="0"/>
              <w:left w:val="single" w:color="FFFFFF" w:sz="16"/>
              <w:bottom w:val="none" w:color="FFFFFF" w:sz="0"/>
              <w:right w:val="single" w:color="FFFFFF" w:sz="16"/>
            </w:tcBorders>
            <w:shd w:fill="F3F6FB" w:color="auto" w:val="clear"/>
            <w:tcMar>
              <w:top w:type="dxa" w:w="110"/>
              <w:left w:type="dxa" w:w="110"/>
              <w:bottom w:type="dxa" w:w="90"/>
              <w:right w:type="dxa" w:w="110"/>
            </w:tcMar>
            <w:vAlign w:val="center"/>
          </w:tcPr>
          <w:p>
            <w:pPr>
              <w:spacing w:after="0" w:before="0" w:line="264"/>
              <w:jc w:val="center"/>
            </w:pPr>
            <w:r>
              <w:rPr>
                <w:rFonts w:ascii="맑은 고딕" w:cs="맑은 고딕" w:eastAsia="맑은 고딕" w:hAnsi="맑은 고딕"/>
                <w:b/>
                <w:bCs/>
                <w:color w:val="111111"/>
                <w:sz w:val="15"/>
                <w:szCs w:val="15"/>
              </w:rPr>
              <w:t xml:space="preserve">제품과 고객 검증</w:t>
            </w:r>
          </w:p>
        </w:tc>
        <w:tc>
          <w:tcPr>
            <w:tcW w:type="dxa" w:w="1927"/>
            <w:tcBorders>
              <w:top w:val="none" w:color="FFFFFF" w:sz="0"/>
              <w:left w:val="single" w:color="FFFFFF" w:sz="16"/>
              <w:bottom w:val="none" w:color="FFFFFF" w:sz="0"/>
              <w:right w:val="single" w:color="FFFFFF" w:sz="16"/>
            </w:tcBorders>
            <w:shd w:fill="F3F6FB" w:color="auto" w:val="clear"/>
            <w:tcMar>
              <w:top w:type="dxa" w:w="110"/>
              <w:left w:type="dxa" w:w="110"/>
              <w:bottom w:type="dxa" w:w="90"/>
              <w:right w:type="dxa" w:w="110"/>
            </w:tcMar>
            <w:vAlign w:val="center"/>
          </w:tcPr>
          <w:p>
            <w:pPr>
              <w:spacing w:after="0" w:before="0" w:line="264"/>
              <w:jc w:val="center"/>
            </w:pPr>
            <w:r>
              <w:rPr>
                <w:rFonts w:ascii="맑은 고딕" w:cs="맑은 고딕" w:eastAsia="맑은 고딕" w:hAnsi="맑은 고딕"/>
                <w:b/>
                <w:bCs/>
                <w:color w:val="111111"/>
                <w:sz w:val="15"/>
                <w:szCs w:val="15"/>
              </w:rPr>
              <w:t xml:space="preserve">수익 구조</w:t>
            </w:r>
          </w:p>
        </w:tc>
        <w:tc>
          <w:tcPr>
            <w:tcW w:type="dxa" w:w="1927"/>
            <w:tcBorders>
              <w:top w:val="none" w:color="FFFFFF" w:sz="0"/>
              <w:left w:val="single" w:color="FFFFFF" w:sz="16"/>
              <w:bottom w:val="none" w:color="FFFFFF" w:sz="0"/>
              <w:right w:val="single" w:color="FFFFFF" w:sz="16"/>
            </w:tcBorders>
            <w:shd w:fill="F3F6FB" w:color="auto" w:val="clear"/>
            <w:tcMar>
              <w:top w:type="dxa" w:w="110"/>
              <w:left w:type="dxa" w:w="110"/>
              <w:bottom w:type="dxa" w:w="90"/>
              <w:right w:type="dxa" w:w="110"/>
            </w:tcMar>
            <w:vAlign w:val="center"/>
          </w:tcPr>
          <w:p>
            <w:pPr>
              <w:spacing w:after="0" w:before="0" w:line="264"/>
              <w:jc w:val="center"/>
            </w:pPr>
            <w:r>
              <w:rPr>
                <w:rFonts w:ascii="맑은 고딕" w:cs="맑은 고딕" w:eastAsia="맑은 고딕" w:hAnsi="맑은 고딕"/>
                <w:b/>
                <w:bCs/>
                <w:color w:val="111111"/>
                <w:sz w:val="15"/>
                <w:szCs w:val="15"/>
              </w:rPr>
              <w:t xml:space="preserve">재무 지속성</w:t>
            </w:r>
          </w:p>
        </w:tc>
        <w:tc>
          <w:tcPr>
            <w:tcW w:type="dxa" w:w="1927"/>
            <w:tcBorders>
              <w:top w:val="none" w:color="FFFFFF" w:sz="0"/>
              <w:left w:val="single" w:color="FFFFFF" w:sz="16"/>
              <w:bottom w:val="none" w:color="FFFFFF" w:sz="0"/>
              <w:right w:val="single" w:color="FFFFFF" w:sz="16"/>
            </w:tcBorders>
            <w:shd w:fill="F3F6FB" w:color="auto" w:val="clear"/>
            <w:tcMar>
              <w:top w:type="dxa" w:w="110"/>
              <w:left w:type="dxa" w:w="110"/>
              <w:bottom w:type="dxa" w:w="90"/>
              <w:right w:type="dxa" w:w="110"/>
            </w:tcMar>
            <w:vAlign w:val="center"/>
          </w:tcPr>
          <w:p>
            <w:pPr>
              <w:spacing w:after="0" w:before="0" w:line="264"/>
              <w:jc w:val="center"/>
            </w:pPr>
            <w:r>
              <w:rPr>
                <w:rFonts w:ascii="맑은 고딕" w:cs="맑은 고딕" w:eastAsia="맑은 고딕" w:hAnsi="맑은 고딕"/>
                <w:b/>
                <w:bCs/>
                <w:color w:val="111111"/>
                <w:sz w:val="15"/>
                <w:szCs w:val="15"/>
              </w:rPr>
              <w:t xml:space="preserve">영업과 조직</w:t>
            </w:r>
          </w:p>
        </w:tc>
        <w:tc>
          <w:tcPr>
            <w:tcW w:type="dxa" w:w="1930"/>
            <w:tcBorders>
              <w:top w:val="none" w:color="FFFFFF" w:sz="0"/>
              <w:left w:val="single" w:color="FFFFFF" w:sz="16"/>
              <w:bottom w:val="none" w:color="FFFFFF" w:sz="0"/>
              <w:right w:val="single" w:color="FFFFFF" w:sz="16"/>
            </w:tcBorders>
            <w:shd w:fill="F3F6FB" w:color="auto" w:val="clear"/>
            <w:tcMar>
              <w:top w:type="dxa" w:w="110"/>
              <w:left w:type="dxa" w:w="110"/>
              <w:bottom w:type="dxa" w:w="90"/>
              <w:right w:type="dxa" w:w="110"/>
            </w:tcMar>
            <w:vAlign w:val="center"/>
          </w:tcPr>
          <w:p>
            <w:pPr>
              <w:spacing w:after="0" w:before="0" w:line="264"/>
              <w:jc w:val="center"/>
            </w:pPr>
            <w:r>
              <w:rPr>
                <w:rFonts w:ascii="맑은 고딕" w:cs="맑은 고딕" w:eastAsia="맑은 고딕" w:hAnsi="맑은 고딕"/>
                <w:b/>
                <w:bCs/>
                <w:color w:val="111111"/>
                <w:sz w:val="15"/>
                <w:szCs w:val="15"/>
              </w:rPr>
              <w:t xml:space="preserve">성장 자금 준비</w:t>
            </w:r>
          </w:p>
        </w:tc>
      </w:tr>
      <w:tr>
        <w:tc>
          <w:tcPr>
            <w:tcW w:type="dxa" w:w="1927"/>
            <w:tcBorders>
              <w:top w:val="none" w:color="FFFFFF" w:sz="0"/>
              <w:left w:val="single" w:color="FFFFFF" w:sz="16"/>
              <w:bottom w:val="none" w:color="FFFFFF" w:sz="0"/>
              <w:right w:val="single" w:color="FFFFFF" w:sz="16"/>
            </w:tcBorders>
            <w:shd w:fill="2F6BFF" w:color="auto" w:val="clear"/>
            <w:tcMar>
              <w:top w:type="dxa" w:w="90"/>
              <w:left w:type="dxa" w:w="110"/>
              <w:bottom w:type="dxa" w:w="90"/>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양호</w:t>
            </w:r>
          </w:p>
        </w:tc>
        <w:tc>
          <w:tcPr>
            <w:tcW w:type="dxa" w:w="1927"/>
            <w:tcBorders>
              <w:top w:val="none" w:color="FFFFFF" w:sz="0"/>
              <w:left w:val="single" w:color="FFFFFF" w:sz="16"/>
              <w:bottom w:val="none" w:color="FFFFFF" w:sz="0"/>
              <w:right w:val="single" w:color="FFFFFF" w:sz="16"/>
            </w:tcBorders>
            <w:shd w:fill="EAF1FF" w:color="auto" w:val="clear"/>
            <w:tcMar>
              <w:top w:type="dxa" w:w="90"/>
              <w:left w:type="dxa" w:w="110"/>
              <w:bottom w:type="dxa" w:w="90"/>
              <w:right w:type="dxa" w:w="110"/>
            </w:tcMar>
            <w:vAlign w:val="center"/>
          </w:tcPr>
          <w:p>
            <w:pPr>
              <w:spacing w:after="0" w:before="0" w:line="264"/>
              <w:jc w:val="center"/>
            </w:pPr>
            <w:r>
              <w:rPr>
                <w:rFonts w:ascii="맑은 고딕" w:cs="맑은 고딕" w:eastAsia="맑은 고딕" w:hAnsi="맑은 고딕"/>
                <w:b/>
                <w:bCs/>
                <w:color w:val="0B1F4B"/>
                <w:sz w:val="16"/>
                <w:szCs w:val="16"/>
              </w:rPr>
              <w:t xml:space="preserve">개선 필요</w:t>
            </w:r>
          </w:p>
        </w:tc>
        <w:tc>
          <w:tcPr>
            <w:tcW w:type="dxa" w:w="1927"/>
            <w:tcBorders>
              <w:top w:val="none" w:color="FFFFFF" w:sz="0"/>
              <w:left w:val="single" w:color="FFFFFF" w:sz="16"/>
              <w:bottom w:val="none" w:color="FFFFFF" w:sz="0"/>
              <w:right w:val="single" w:color="FFFFFF" w:sz="16"/>
            </w:tcBorders>
            <w:shd w:fill="111111" w:color="auto" w:val="clear"/>
            <w:tcMar>
              <w:top w:type="dxa" w:w="90"/>
              <w:left w:type="dxa" w:w="110"/>
              <w:bottom w:type="dxa" w:w="90"/>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우선 관리</w:t>
            </w:r>
          </w:p>
        </w:tc>
        <w:tc>
          <w:tcPr>
            <w:tcW w:type="dxa" w:w="1927"/>
            <w:tcBorders>
              <w:top w:val="none" w:color="FFFFFF" w:sz="0"/>
              <w:left w:val="single" w:color="FFFFFF" w:sz="16"/>
              <w:bottom w:val="none" w:color="FFFFFF" w:sz="0"/>
              <w:right w:val="single" w:color="FFFFFF" w:sz="16"/>
            </w:tcBorders>
            <w:shd w:fill="EAF1FF" w:color="auto" w:val="clear"/>
            <w:tcMar>
              <w:top w:type="dxa" w:w="90"/>
              <w:left w:type="dxa" w:w="110"/>
              <w:bottom w:type="dxa" w:w="90"/>
              <w:right w:type="dxa" w:w="110"/>
            </w:tcMar>
            <w:vAlign w:val="center"/>
          </w:tcPr>
          <w:p>
            <w:pPr>
              <w:spacing w:after="0" w:before="0" w:line="264"/>
              <w:jc w:val="center"/>
            </w:pPr>
            <w:r>
              <w:rPr>
                <w:rFonts w:ascii="맑은 고딕" w:cs="맑은 고딕" w:eastAsia="맑은 고딕" w:hAnsi="맑은 고딕"/>
                <w:b/>
                <w:bCs/>
                <w:color w:val="0B1F4B"/>
                <w:sz w:val="16"/>
                <w:szCs w:val="16"/>
              </w:rPr>
              <w:t xml:space="preserve">개선 필요</w:t>
            </w:r>
          </w:p>
        </w:tc>
        <w:tc>
          <w:tcPr>
            <w:tcW w:type="dxa" w:w="1930"/>
            <w:tcBorders>
              <w:top w:val="none" w:color="FFFFFF" w:sz="0"/>
              <w:left w:val="single" w:color="FFFFFF" w:sz="16"/>
              <w:bottom w:val="none" w:color="FFFFFF" w:sz="0"/>
              <w:right w:val="single" w:color="FFFFFF" w:sz="16"/>
            </w:tcBorders>
            <w:shd w:fill="E4E8EF" w:color="auto" w:val="clear"/>
            <w:tcMar>
              <w:top w:type="dxa" w:w="90"/>
              <w:left w:type="dxa" w:w="110"/>
              <w:bottom w:type="dxa" w:w="90"/>
              <w:right w:type="dxa" w:w="110"/>
            </w:tcMar>
            <w:vAlign w:val="center"/>
          </w:tcPr>
          <w:p>
            <w:pPr>
              <w:spacing w:after="0" w:before="0" w:line="264"/>
              <w:jc w:val="center"/>
            </w:pPr>
            <w:r>
              <w:rPr>
                <w:rFonts w:ascii="맑은 고딕" w:cs="맑은 고딕" w:eastAsia="맑은 고딕" w:hAnsi="맑은 고딕"/>
                <w:b/>
                <w:bCs/>
                <w:color w:val="0B1F4B"/>
                <w:sz w:val="16"/>
                <w:szCs w:val="16"/>
              </w:rPr>
              <w:t xml:space="preserve">보완 후 추진</w:t>
            </w:r>
          </w:p>
        </w:tc>
      </w:tr>
    </w:tbl>
    <w:p>
      <w:pPr>
        <w:spacing w:after="360"/>
      </w:pPr>
    </w:p>
    <w:tbl>
      <w:tblPr>
        <w:tblW w:type="dxa" w:w="9638"/>
        <w:tblInd w:type="dxa" w:w="1134"/>
        <w:tblBorders>
          <w:top w:val="single" w:color="111111" w:sz="10"/>
          <w:left w:val="none" w:color="FFFFFF" w:sz="0"/>
          <w:bottom w:val="single" w:color="D5DBE5" w:sz="4"/>
          <w:right w:val="none" w:color="FFFFFF" w:sz="0"/>
          <w:insideH w:val="none" w:color="FFFFFF" w:sz="0"/>
          <w:insideV w:val="single" w:color="D5DBE5" w:sz="4"/>
        </w:tblBorders>
      </w:tblPr>
      <w:tblGrid>
        <w:gridCol w:w="2409"/>
        <w:gridCol w:w="2409"/>
        <w:gridCol w:w="2409"/>
        <w:gridCol w:w="2411"/>
      </w:tblGrid>
      <w:tr>
        <w:tc>
          <w:tcPr>
            <w:tcW w:type="dxa" w:w="2409"/>
            <w:tcMar>
              <w:top w:type="dxa" w:w="130"/>
              <w:left w:type="dxa" w:w="140"/>
              <w:bottom w:type="dxa" w:w="130"/>
              <w:right w:type="dxa" w:w="110"/>
            </w:tcMar>
            <w:vAlign w:val="center"/>
          </w:tcPr>
          <w:p>
            <w:pPr>
              <w:spacing w:after="40" w:before="0" w:line="264"/>
              <w:jc w:val="left"/>
            </w:pPr>
            <w:r>
              <w:rPr>
                <w:rFonts w:ascii="맑은 고딕" w:cs="맑은 고딕" w:eastAsia="맑은 고딕" w:hAnsi="맑은 고딕"/>
                <w:b/>
                <w:bCs/>
                <w:color w:val="6B7280"/>
                <w:sz w:val="14"/>
                <w:szCs w:val="14"/>
              </w:rPr>
              <w:t xml:space="preserve">발행</w:t>
            </w:r>
          </w:p>
          <w:p>
            <w:pPr>
              <w:spacing w:after="0" w:before="0" w:line="264"/>
              <w:jc w:val="left"/>
            </w:pPr>
            <w:r>
              <w:rPr>
                <w:rFonts w:ascii="맑은 고딕" w:cs="맑은 고딕" w:eastAsia="맑은 고딕" w:hAnsi="맑은 고딕"/>
                <w:b/>
                <w:bCs/>
                <w:color w:val="111111"/>
                <w:sz w:val="18"/>
                <w:szCs w:val="18"/>
              </w:rPr>
              <w:t xml:space="preserve">㈜포항연합기술지주</w:t>
            </w:r>
          </w:p>
        </w:tc>
        <w:tc>
          <w:tcPr>
            <w:tcW w:type="dxa" w:w="2409"/>
            <w:tcMar>
              <w:top w:type="dxa" w:w="130"/>
              <w:left w:type="dxa" w:w="140"/>
              <w:bottom w:type="dxa" w:w="130"/>
              <w:right w:type="dxa" w:w="110"/>
            </w:tcMar>
            <w:vAlign w:val="center"/>
          </w:tcPr>
          <w:p>
            <w:pPr>
              <w:spacing w:after="40" w:before="0" w:line="264"/>
              <w:jc w:val="left"/>
            </w:pPr>
            <w:r>
              <w:rPr>
                <w:rFonts w:ascii="맑은 고딕" w:cs="맑은 고딕" w:eastAsia="맑은 고딕" w:hAnsi="맑은 고딕"/>
                <w:b/>
                <w:bCs/>
                <w:color w:val="6B7280"/>
                <w:sz w:val="14"/>
                <w:szCs w:val="14"/>
              </w:rPr>
              <w:t xml:space="preserve">작성일</w:t>
            </w:r>
          </w:p>
          <w:p>
            <w:pPr>
              <w:spacing w:after="0" w:before="0" w:line="264"/>
              <w:jc w:val="left"/>
            </w:pPr>
            <w:r>
              <w:rPr>
                <w:rFonts w:ascii="맑은 고딕" w:cs="맑은 고딕" w:eastAsia="맑은 고딕" w:hAnsi="맑은 고딕"/>
                <w:b/>
                <w:bCs/>
                <w:color w:val="111111"/>
                <w:sz w:val="18"/>
                <w:szCs w:val="18"/>
              </w:rPr>
              <w:t xml:space="preserve">2026년 10월 28일</w:t>
            </w:r>
          </w:p>
        </w:tc>
        <w:tc>
          <w:tcPr>
            <w:tcW w:type="dxa" w:w="2409"/>
            <w:tcMar>
              <w:top w:type="dxa" w:w="130"/>
              <w:left w:type="dxa" w:w="140"/>
              <w:bottom w:type="dxa" w:w="130"/>
              <w:right w:type="dxa" w:w="110"/>
            </w:tcMar>
            <w:vAlign w:val="center"/>
          </w:tcPr>
          <w:p>
            <w:pPr>
              <w:spacing w:after="40" w:before="0" w:line="264"/>
              <w:jc w:val="left"/>
            </w:pPr>
            <w:r>
              <w:rPr>
                <w:rFonts w:ascii="맑은 고딕" w:cs="맑은 고딕" w:eastAsia="맑은 고딕" w:hAnsi="맑은 고딕"/>
                <w:b/>
                <w:bCs/>
                <w:color w:val="6B7280"/>
                <w:sz w:val="14"/>
                <w:szCs w:val="14"/>
              </w:rPr>
              <w:t xml:space="preserve">진단 기준일</w:t>
            </w:r>
          </w:p>
          <w:p>
            <w:pPr>
              <w:spacing w:after="0" w:before="0" w:line="264"/>
              <w:jc w:val="left"/>
            </w:pPr>
            <w:r>
              <w:rPr>
                <w:rFonts w:ascii="맑은 고딕" w:cs="맑은 고딕" w:eastAsia="맑은 고딕" w:hAnsi="맑은 고딕"/>
                <w:b/>
                <w:bCs/>
                <w:color w:val="111111"/>
                <w:sz w:val="18"/>
                <w:szCs w:val="18"/>
              </w:rPr>
              <w:t xml:space="preserve">2026년 9월 30일</w:t>
            </w:r>
          </w:p>
        </w:tc>
        <w:tc>
          <w:tcPr>
            <w:tcW w:type="dxa" w:w="2411"/>
            <w:tcMar>
              <w:top w:type="dxa" w:w="130"/>
              <w:left w:type="dxa" w:w="140"/>
              <w:bottom w:type="dxa" w:w="130"/>
              <w:right w:type="dxa" w:w="110"/>
            </w:tcMar>
            <w:vAlign w:val="center"/>
          </w:tcPr>
          <w:p>
            <w:pPr>
              <w:spacing w:after="40" w:before="0" w:line="264"/>
              <w:jc w:val="left"/>
            </w:pPr>
            <w:r>
              <w:rPr>
                <w:rFonts w:ascii="맑은 고딕" w:cs="맑은 고딕" w:eastAsia="맑은 고딕" w:hAnsi="맑은 고딕"/>
                <w:b/>
                <w:bCs/>
                <w:color w:val="6B7280"/>
                <w:sz w:val="14"/>
                <w:szCs w:val="14"/>
              </w:rPr>
              <w:t xml:space="preserve">금액 단위</w:t>
            </w:r>
          </w:p>
          <w:p>
            <w:pPr>
              <w:spacing w:after="0" w:before="0" w:line="264"/>
              <w:jc w:val="left"/>
            </w:pPr>
            <w:r>
              <w:rPr>
                <w:rFonts w:ascii="맑은 고딕" w:cs="맑은 고딕" w:eastAsia="맑은 고딕" w:hAnsi="맑은 고딕"/>
                <w:b/>
                <w:bCs/>
                <w:color w:val="111111"/>
                <w:sz w:val="18"/>
                <w:szCs w:val="18"/>
              </w:rPr>
              <w:t xml:space="preserve">백만원 (별도 표시 제외)</w:t>
            </w:r>
          </w:p>
        </w:tc>
      </w:tr>
    </w:tbl>
    <w:p>
      <w:pPr>
        <w:spacing w:after="0" w:before="260" w:line="260"/>
        <w:ind w:left="1134" w:right="1134"/>
      </w:pPr>
      <w:r>
        <w:rPr>
          <w:rFonts w:ascii="맑은 고딕" w:cs="맑은 고딕" w:eastAsia="맑은 고딕" w:hAnsi="맑은 고딕"/>
          <w:b/>
          <w:bCs/>
          <w:color w:val="0B1F4B"/>
          <w:sz w:val="14"/>
          <w:szCs w:val="14"/>
        </w:rPr>
        <w:t xml:space="preserve">더미 파일 안내  </w:t>
      </w:r>
      <w:r>
        <w:rPr>
          <w:rFonts w:ascii="맑은 고딕" w:cs="맑은 고딕" w:eastAsia="맑은 고딕" w:hAnsi="맑은 고딕"/>
          <w:color w:val="6B7280"/>
          <w:sz w:val="14"/>
          <w:szCs w:val="14"/>
        </w:rPr>
        <w:t xml:space="preserve">이 보고서의 기업, 인물, 재무수치, 고객 실적과 평가 결과는 모두 가상입니다. 실제 기업에 대한 실사나 투자 판단 자료가 아닙니다.</w:t>
      </w:r>
    </w:p>
    <w:p>
      <w:pPr>
        <w:sectPr>
          <w:pgSz w:w="11906" w:h="16838" w:orient="portrait"/>
          <w:pgMar w:top="0" w:right="0" w:bottom="0" w:left="0" w:header="0" w:footer="0" w:gutter="0"/>
          <w:pgNumType/>
          <w:docGrid w:linePitch="360"/>
        </w:sectPr>
      </w:pPr>
    </w:p>
    <w:p>
      <w:pPr>
        <w:keepLines/>
        <w:spacing w:after="40" w:before="0" w:line="320"/>
        <w:jc w:val="left"/>
      </w:pPr>
      <w:r>
        <w:rPr>
          <w:rFonts w:ascii="맑은 고딕" w:cs="맑은 고딕" w:eastAsia="맑은 고딕" w:hAnsi="맑은 고딕"/>
          <w:b/>
          <w:bCs/>
          <w:color w:val="2F6BFF"/>
          <w:spacing w:val="60"/>
          <w:sz w:val="15"/>
          <w:szCs w:val="15"/>
        </w:rPr>
        <w:t xml:space="preserve">CONTENTS</w:t>
      </w:r>
    </w:p>
    <w:p>
      <w:pPr>
        <w:pBdr>
          <w:bottom w:val="single" w:color="111111" w:sz="14"/>
        </w:pBdr>
        <w:spacing w:after="160"/>
      </w:pPr>
      <w:r>
        <w:rPr>
          <w:rFonts w:ascii="맑은 고딕" w:cs="맑은 고딕" w:eastAsia="맑은 고딕" w:hAnsi="맑은 고딕"/>
          <w:b/>
          <w:bCs/>
          <w:color w:val="111111"/>
          <w:sz w:val="34"/>
          <w:szCs w:val="34"/>
        </w:rPr>
        <w:t xml:space="preserve">목차</w:t>
      </w:r>
    </w:p>
    <w:tbl>
      <w:tblPr>
        <w:tblW w:type="dxa" w:w="9638"/>
        <w:tblBorders>
          <w:top w:val="none" w:color="FFFFFF" w:sz="0"/>
          <w:left w:val="none" w:color="FFFFFF" w:sz="0"/>
          <w:bottom w:val="single" w:color="D5DBE5" w:sz="4"/>
          <w:right w:val="none" w:color="FFFFFF" w:sz="0"/>
          <w:insideH w:val="single" w:color="D5DBE5" w:sz="4"/>
          <w:insideV w:val="none" w:color="FFFFFF" w:sz="0"/>
        </w:tblBorders>
      </w:tblPr>
      <w:tblGrid>
        <w:gridCol w:w="1000"/>
        <w:gridCol w:w="5400"/>
        <w:gridCol w:w="3238"/>
      </w:tblGrid>
      <w:tr>
        <w:trPr>
          <w:cantSplit/>
        </w:trPr>
        <w:tc>
          <w:tcPr>
            <w:tcW w:type="dxa" w:w="1000"/>
            <w:tcMar>
              <w:top w:type="dxa" w:w="70"/>
              <w:left w:type="dxa" w:w="0"/>
              <w:bottom w:type="dxa" w:w="70"/>
              <w:right w:type="dxa" w:w="110"/>
            </w:tcMar>
            <w:vAlign w:val="center"/>
          </w:tcPr>
          <w:p>
            <w:pPr>
              <w:spacing w:after="0" w:before="0" w:line="264"/>
              <w:jc w:val="left"/>
            </w:pPr>
            <w:r>
              <w:rPr>
                <w:rFonts w:ascii="맑은 고딕" w:cs="맑은 고딕" w:eastAsia="맑은 고딕" w:hAnsi="맑은 고딕"/>
                <w:b/>
                <w:bCs/>
                <w:color w:val="2F6BFF"/>
                <w:sz w:val="22"/>
                <w:szCs w:val="22"/>
              </w:rPr>
              <w:t xml:space="preserve">00</w:t>
            </w:r>
          </w:p>
        </w:tc>
        <w:tc>
          <w:tcPr>
            <w:tcW w:type="dxa" w:w="5400"/>
            <w:tcMar>
              <w:top w:type="dxa" w:w="70"/>
              <w:left w:type="dxa" w:w="110"/>
              <w:bottom w:type="dxa" w:w="70"/>
              <w:right w:type="dxa" w:w="110"/>
            </w:tcMar>
            <w:vAlign w:val="center"/>
          </w:tcPr>
          <w:p>
            <w:pPr>
              <w:spacing w:after="0" w:before="0" w:line="264"/>
              <w:jc w:val="left"/>
            </w:pPr>
            <w:r>
              <w:rPr>
                <w:rFonts w:ascii="맑은 고딕" w:cs="맑은 고딕" w:eastAsia="맑은 고딕" w:hAnsi="맑은 고딕"/>
                <w:b/>
                <w:bCs/>
                <w:color w:val="111111"/>
                <w:sz w:val="20"/>
                <w:szCs w:val="20"/>
              </w:rPr>
              <w:t xml:space="preserve">종합 진단</w:t>
            </w:r>
          </w:p>
        </w:tc>
        <w:tc>
          <w:tcPr>
            <w:tcW w:type="dxa" w:w="3238"/>
            <w:tcMar>
              <w:top w:type="dxa" w:w="70"/>
              <w:left w:type="dxa" w:w="110"/>
              <w:bottom w:type="dxa" w:w="70"/>
              <w:right w:type="dxa" w:w="0"/>
            </w:tcMar>
            <w:vAlign w:val="center"/>
          </w:tcPr>
          <w:p>
            <w:pPr>
              <w:spacing w:after="0" w:before="0" w:line="264"/>
              <w:jc w:val="right"/>
            </w:pPr>
            <w:r>
              <w:rPr>
                <w:rFonts w:ascii="맑은 고딕" w:cs="맑은 고딕" w:eastAsia="맑은 고딕" w:hAnsi="맑은 고딕"/>
                <w:color w:val="9AA3AF"/>
                <w:sz w:val="15"/>
                <w:szCs w:val="15"/>
              </w:rPr>
              <w:t xml:space="preserve">Executive Summary</w:t>
            </w:r>
          </w:p>
        </w:tc>
      </w:tr>
      <w:tr>
        <w:trPr>
          <w:cantSplit/>
        </w:trPr>
        <w:tc>
          <w:tcPr>
            <w:tcW w:type="dxa" w:w="1000"/>
            <w:tcMar>
              <w:top w:type="dxa" w:w="70"/>
              <w:left w:type="dxa" w:w="0"/>
              <w:bottom w:type="dxa" w:w="70"/>
              <w:right w:type="dxa" w:w="110"/>
            </w:tcMar>
            <w:vAlign w:val="center"/>
          </w:tcPr>
          <w:p>
            <w:pPr>
              <w:spacing w:after="0" w:before="0" w:line="264"/>
              <w:jc w:val="left"/>
            </w:pPr>
            <w:r>
              <w:rPr>
                <w:rFonts w:ascii="맑은 고딕" w:cs="맑은 고딕" w:eastAsia="맑은 고딕" w:hAnsi="맑은 고딕"/>
                <w:b/>
                <w:bCs/>
                <w:color w:val="2F6BFF"/>
                <w:sz w:val="22"/>
                <w:szCs w:val="22"/>
              </w:rPr>
              <w:t xml:space="preserve">01</w:t>
            </w:r>
          </w:p>
        </w:tc>
        <w:tc>
          <w:tcPr>
            <w:tcW w:type="dxa" w:w="5400"/>
            <w:tcMar>
              <w:top w:type="dxa" w:w="70"/>
              <w:left w:type="dxa" w:w="110"/>
              <w:bottom w:type="dxa" w:w="70"/>
              <w:right w:type="dxa" w:w="110"/>
            </w:tcMar>
            <w:vAlign w:val="center"/>
          </w:tcPr>
          <w:p>
            <w:pPr>
              <w:spacing w:after="0" w:before="0" w:line="264"/>
              <w:jc w:val="left"/>
            </w:pPr>
            <w:r>
              <w:rPr>
                <w:rFonts w:ascii="맑은 고딕" w:cs="맑은 고딕" w:eastAsia="맑은 고딕" w:hAnsi="맑은 고딕"/>
                <w:b/>
                <w:bCs/>
                <w:color w:val="111111"/>
                <w:sz w:val="20"/>
                <w:szCs w:val="20"/>
              </w:rPr>
              <w:t xml:space="preserve">기업과 조직 현황</w:t>
            </w:r>
          </w:p>
        </w:tc>
        <w:tc>
          <w:tcPr>
            <w:tcW w:type="dxa" w:w="3238"/>
            <w:tcMar>
              <w:top w:type="dxa" w:w="70"/>
              <w:left w:type="dxa" w:w="110"/>
              <w:bottom w:type="dxa" w:w="70"/>
              <w:right w:type="dxa" w:w="0"/>
            </w:tcMar>
            <w:vAlign w:val="center"/>
          </w:tcPr>
          <w:p>
            <w:pPr>
              <w:spacing w:after="0" w:before="0" w:line="264"/>
              <w:jc w:val="right"/>
            </w:pPr>
            <w:r>
              <w:rPr>
                <w:rFonts w:ascii="맑은 고딕" w:cs="맑은 고딕" w:eastAsia="맑은 고딕" w:hAnsi="맑은 고딕"/>
                <w:color w:val="9AA3AF"/>
                <w:sz w:val="15"/>
                <w:szCs w:val="15"/>
              </w:rPr>
              <w:t xml:space="preserve">Corporate Overview</w:t>
            </w:r>
          </w:p>
        </w:tc>
      </w:tr>
      <w:tr>
        <w:trPr>
          <w:cantSplit/>
        </w:trPr>
        <w:tc>
          <w:tcPr>
            <w:tcW w:type="dxa" w:w="1000"/>
            <w:tcMar>
              <w:top w:type="dxa" w:w="70"/>
              <w:left w:type="dxa" w:w="0"/>
              <w:bottom w:type="dxa" w:w="70"/>
              <w:right w:type="dxa" w:w="110"/>
            </w:tcMar>
            <w:vAlign w:val="center"/>
          </w:tcPr>
          <w:p>
            <w:pPr>
              <w:spacing w:after="0" w:before="0" w:line="264"/>
              <w:jc w:val="left"/>
            </w:pPr>
            <w:r>
              <w:rPr>
                <w:rFonts w:ascii="맑은 고딕" w:cs="맑은 고딕" w:eastAsia="맑은 고딕" w:hAnsi="맑은 고딕"/>
                <w:b/>
                <w:bCs/>
                <w:color w:val="2F6BFF"/>
                <w:sz w:val="22"/>
                <w:szCs w:val="22"/>
              </w:rPr>
              <w:t xml:space="preserve">02</w:t>
            </w:r>
          </w:p>
        </w:tc>
        <w:tc>
          <w:tcPr>
            <w:tcW w:type="dxa" w:w="5400"/>
            <w:tcMar>
              <w:top w:type="dxa" w:w="70"/>
              <w:left w:type="dxa" w:w="110"/>
              <w:bottom w:type="dxa" w:w="70"/>
              <w:right w:type="dxa" w:w="110"/>
            </w:tcMar>
            <w:vAlign w:val="center"/>
          </w:tcPr>
          <w:p>
            <w:pPr>
              <w:spacing w:after="0" w:before="0" w:line="264"/>
              <w:jc w:val="left"/>
            </w:pPr>
            <w:r>
              <w:rPr>
                <w:rFonts w:ascii="맑은 고딕" w:cs="맑은 고딕" w:eastAsia="맑은 고딕" w:hAnsi="맑은 고딕"/>
                <w:b/>
                <w:bCs/>
                <w:color w:val="111111"/>
                <w:sz w:val="20"/>
                <w:szCs w:val="20"/>
              </w:rPr>
              <w:t xml:space="preserve">재무 성과와 현금흐름 진단</w:t>
            </w:r>
          </w:p>
        </w:tc>
        <w:tc>
          <w:tcPr>
            <w:tcW w:type="dxa" w:w="3238"/>
            <w:tcMar>
              <w:top w:type="dxa" w:w="70"/>
              <w:left w:type="dxa" w:w="110"/>
              <w:bottom w:type="dxa" w:w="70"/>
              <w:right w:type="dxa" w:w="0"/>
            </w:tcMar>
            <w:vAlign w:val="center"/>
          </w:tcPr>
          <w:p>
            <w:pPr>
              <w:spacing w:after="0" w:before="0" w:line="264"/>
              <w:jc w:val="right"/>
            </w:pPr>
            <w:r>
              <w:rPr>
                <w:rFonts w:ascii="맑은 고딕" w:cs="맑은 고딕" w:eastAsia="맑은 고딕" w:hAnsi="맑은 고딕"/>
                <w:color w:val="9AA3AF"/>
                <w:sz w:val="15"/>
                <w:szCs w:val="15"/>
              </w:rPr>
              <w:t xml:space="preserve">Financial Review</w:t>
            </w:r>
          </w:p>
        </w:tc>
      </w:tr>
      <w:tr>
        <w:trPr>
          <w:cantSplit/>
        </w:trPr>
        <w:tc>
          <w:tcPr>
            <w:tcW w:type="dxa" w:w="1000"/>
            <w:tcMar>
              <w:top w:type="dxa" w:w="70"/>
              <w:left w:type="dxa" w:w="0"/>
              <w:bottom w:type="dxa" w:w="70"/>
              <w:right w:type="dxa" w:w="110"/>
            </w:tcMar>
            <w:vAlign w:val="center"/>
          </w:tcPr>
          <w:p>
            <w:pPr>
              <w:spacing w:after="0" w:before="0" w:line="264"/>
              <w:jc w:val="left"/>
            </w:pPr>
            <w:r>
              <w:rPr>
                <w:rFonts w:ascii="맑은 고딕" w:cs="맑은 고딕" w:eastAsia="맑은 고딕" w:hAnsi="맑은 고딕"/>
                <w:b/>
                <w:bCs/>
                <w:color w:val="2F6BFF"/>
                <w:sz w:val="22"/>
                <w:szCs w:val="22"/>
              </w:rPr>
              <w:t xml:space="preserve">03</w:t>
            </w:r>
          </w:p>
        </w:tc>
        <w:tc>
          <w:tcPr>
            <w:tcW w:type="dxa" w:w="5400"/>
            <w:tcMar>
              <w:top w:type="dxa" w:w="70"/>
              <w:left w:type="dxa" w:w="110"/>
              <w:bottom w:type="dxa" w:w="70"/>
              <w:right w:type="dxa" w:w="110"/>
            </w:tcMar>
            <w:vAlign w:val="center"/>
          </w:tcPr>
          <w:p>
            <w:pPr>
              <w:spacing w:after="0" w:before="0" w:line="264"/>
              <w:jc w:val="left"/>
            </w:pPr>
            <w:r>
              <w:rPr>
                <w:rFonts w:ascii="맑은 고딕" w:cs="맑은 고딕" w:eastAsia="맑은 고딕" w:hAnsi="맑은 고딕"/>
                <w:b/>
                <w:bCs/>
                <w:color w:val="111111"/>
                <w:sz w:val="20"/>
                <w:szCs w:val="20"/>
              </w:rPr>
              <w:t xml:space="preserve">사업성과 시장 진단</w:t>
            </w:r>
          </w:p>
        </w:tc>
        <w:tc>
          <w:tcPr>
            <w:tcW w:type="dxa" w:w="3238"/>
            <w:tcMar>
              <w:top w:type="dxa" w:w="70"/>
              <w:left w:type="dxa" w:w="110"/>
              <w:bottom w:type="dxa" w:w="70"/>
              <w:right w:type="dxa" w:w="0"/>
            </w:tcMar>
            <w:vAlign w:val="center"/>
          </w:tcPr>
          <w:p>
            <w:pPr>
              <w:spacing w:after="0" w:before="0" w:line="264"/>
              <w:jc w:val="right"/>
            </w:pPr>
            <w:r>
              <w:rPr>
                <w:rFonts w:ascii="맑은 고딕" w:cs="맑은 고딕" w:eastAsia="맑은 고딕" w:hAnsi="맑은 고딕"/>
                <w:color w:val="9AA3AF"/>
                <w:sz w:val="15"/>
                <w:szCs w:val="15"/>
              </w:rPr>
              <w:t xml:space="preserve">Business and Market</w:t>
            </w:r>
          </w:p>
        </w:tc>
      </w:tr>
      <w:tr>
        <w:trPr>
          <w:cantSplit/>
        </w:trPr>
        <w:tc>
          <w:tcPr>
            <w:tcW w:type="dxa" w:w="1000"/>
            <w:tcMar>
              <w:top w:type="dxa" w:w="70"/>
              <w:left w:type="dxa" w:w="0"/>
              <w:bottom w:type="dxa" w:w="70"/>
              <w:right w:type="dxa" w:w="110"/>
            </w:tcMar>
            <w:vAlign w:val="center"/>
          </w:tcPr>
          <w:p>
            <w:pPr>
              <w:spacing w:after="0" w:before="0" w:line="264"/>
              <w:jc w:val="left"/>
            </w:pPr>
            <w:r>
              <w:rPr>
                <w:rFonts w:ascii="맑은 고딕" w:cs="맑은 고딕" w:eastAsia="맑은 고딕" w:hAnsi="맑은 고딕"/>
                <w:b/>
                <w:bCs/>
                <w:color w:val="2F6BFF"/>
                <w:sz w:val="22"/>
                <w:szCs w:val="22"/>
              </w:rPr>
              <w:t xml:space="preserve">04</w:t>
            </w:r>
          </w:p>
        </w:tc>
        <w:tc>
          <w:tcPr>
            <w:tcW w:type="dxa" w:w="5400"/>
            <w:tcMar>
              <w:top w:type="dxa" w:w="70"/>
              <w:left w:type="dxa" w:w="110"/>
              <w:bottom w:type="dxa" w:w="70"/>
              <w:right w:type="dxa" w:w="110"/>
            </w:tcMar>
            <w:vAlign w:val="center"/>
          </w:tcPr>
          <w:p>
            <w:pPr>
              <w:spacing w:after="0" w:before="0" w:line="264"/>
              <w:jc w:val="left"/>
            </w:pPr>
            <w:r>
              <w:rPr>
                <w:rFonts w:ascii="맑은 고딕" w:cs="맑은 고딕" w:eastAsia="맑은 고딕" w:hAnsi="맑은 고딕"/>
                <w:b/>
                <w:bCs/>
                <w:color w:val="111111"/>
                <w:sz w:val="20"/>
                <w:szCs w:val="20"/>
              </w:rPr>
              <w:t xml:space="preserve">전략 진단과 고객 메시지</w:t>
            </w:r>
          </w:p>
        </w:tc>
        <w:tc>
          <w:tcPr>
            <w:tcW w:type="dxa" w:w="3238"/>
            <w:tcMar>
              <w:top w:type="dxa" w:w="70"/>
              <w:left w:type="dxa" w:w="110"/>
              <w:bottom w:type="dxa" w:w="70"/>
              <w:right w:type="dxa" w:w="0"/>
            </w:tcMar>
            <w:vAlign w:val="center"/>
          </w:tcPr>
          <w:p>
            <w:pPr>
              <w:spacing w:after="0" w:before="0" w:line="264"/>
              <w:jc w:val="right"/>
            </w:pPr>
            <w:r>
              <w:rPr>
                <w:rFonts w:ascii="맑은 고딕" w:cs="맑은 고딕" w:eastAsia="맑은 고딕" w:hAnsi="맑은 고딕"/>
                <w:color w:val="9AA3AF"/>
                <w:sz w:val="15"/>
                <w:szCs w:val="15"/>
              </w:rPr>
              <w:t xml:space="preserve">Strategy</w:t>
            </w:r>
          </w:p>
        </w:tc>
      </w:tr>
      <w:tr>
        <w:trPr>
          <w:cantSplit/>
        </w:trPr>
        <w:tc>
          <w:tcPr>
            <w:tcW w:type="dxa" w:w="1000"/>
            <w:tcMar>
              <w:top w:type="dxa" w:w="70"/>
              <w:left w:type="dxa" w:w="0"/>
              <w:bottom w:type="dxa" w:w="70"/>
              <w:right w:type="dxa" w:w="110"/>
            </w:tcMar>
            <w:vAlign w:val="center"/>
          </w:tcPr>
          <w:p>
            <w:pPr>
              <w:spacing w:after="0" w:before="0" w:line="264"/>
              <w:jc w:val="left"/>
            </w:pPr>
            <w:r>
              <w:rPr>
                <w:rFonts w:ascii="맑은 고딕" w:cs="맑은 고딕" w:eastAsia="맑은 고딕" w:hAnsi="맑은 고딕"/>
                <w:b/>
                <w:bCs/>
                <w:color w:val="2F6BFF"/>
                <w:sz w:val="22"/>
                <w:szCs w:val="22"/>
              </w:rPr>
              <w:t xml:space="preserve">05</w:t>
            </w:r>
          </w:p>
        </w:tc>
        <w:tc>
          <w:tcPr>
            <w:tcW w:type="dxa" w:w="5400"/>
            <w:tcMar>
              <w:top w:type="dxa" w:w="70"/>
              <w:left w:type="dxa" w:w="110"/>
              <w:bottom w:type="dxa" w:w="70"/>
              <w:right w:type="dxa" w:w="110"/>
            </w:tcMar>
            <w:vAlign w:val="center"/>
          </w:tcPr>
          <w:p>
            <w:pPr>
              <w:spacing w:after="0" w:before="0" w:line="264"/>
              <w:jc w:val="left"/>
            </w:pPr>
            <w:r>
              <w:rPr>
                <w:rFonts w:ascii="맑은 고딕" w:cs="맑은 고딕" w:eastAsia="맑은 고딕" w:hAnsi="맑은 고딕"/>
                <w:b/>
                <w:bCs/>
                <w:color w:val="111111"/>
                <w:sz w:val="20"/>
                <w:szCs w:val="20"/>
              </w:rPr>
              <w:t xml:space="preserve">투자와 정부지원사업 계획</w:t>
            </w:r>
          </w:p>
        </w:tc>
        <w:tc>
          <w:tcPr>
            <w:tcW w:type="dxa" w:w="3238"/>
            <w:tcMar>
              <w:top w:type="dxa" w:w="70"/>
              <w:left w:type="dxa" w:w="110"/>
              <w:bottom w:type="dxa" w:w="70"/>
              <w:right w:type="dxa" w:w="0"/>
            </w:tcMar>
            <w:vAlign w:val="center"/>
          </w:tcPr>
          <w:p>
            <w:pPr>
              <w:spacing w:after="0" w:before="0" w:line="264"/>
              <w:jc w:val="right"/>
            </w:pPr>
            <w:r>
              <w:rPr>
                <w:rFonts w:ascii="맑은 고딕" w:cs="맑은 고딕" w:eastAsia="맑은 고딕" w:hAnsi="맑은 고딕"/>
                <w:color w:val="9AA3AF"/>
                <w:sz w:val="15"/>
                <w:szCs w:val="15"/>
              </w:rPr>
              <w:t xml:space="preserve">Funding Plan</w:t>
            </w:r>
          </w:p>
        </w:tc>
      </w:tr>
      <w:tr>
        <w:trPr>
          <w:cantSplit/>
        </w:trPr>
        <w:tc>
          <w:tcPr>
            <w:tcW w:type="dxa" w:w="1000"/>
            <w:tcMar>
              <w:top w:type="dxa" w:w="70"/>
              <w:left w:type="dxa" w:w="0"/>
              <w:bottom w:type="dxa" w:w="70"/>
              <w:right w:type="dxa" w:w="110"/>
            </w:tcMar>
            <w:vAlign w:val="center"/>
          </w:tcPr>
          <w:p>
            <w:pPr>
              <w:spacing w:after="0" w:before="0" w:line="264"/>
              <w:jc w:val="left"/>
            </w:pPr>
            <w:r>
              <w:rPr>
                <w:rFonts w:ascii="맑은 고딕" w:cs="맑은 고딕" w:eastAsia="맑은 고딕" w:hAnsi="맑은 고딕"/>
                <w:b/>
                <w:bCs/>
                <w:color w:val="2F6BFF"/>
                <w:sz w:val="22"/>
                <w:szCs w:val="22"/>
              </w:rPr>
              <w:t xml:space="preserve">06</w:t>
            </w:r>
          </w:p>
        </w:tc>
        <w:tc>
          <w:tcPr>
            <w:tcW w:type="dxa" w:w="5400"/>
            <w:tcMar>
              <w:top w:type="dxa" w:w="70"/>
              <w:left w:type="dxa" w:w="110"/>
              <w:bottom w:type="dxa" w:w="70"/>
              <w:right w:type="dxa" w:w="110"/>
            </w:tcMar>
            <w:vAlign w:val="center"/>
          </w:tcPr>
          <w:p>
            <w:pPr>
              <w:spacing w:after="0" w:before="0" w:line="264"/>
              <w:jc w:val="left"/>
            </w:pPr>
            <w:r>
              <w:rPr>
                <w:rFonts w:ascii="맑은 고딕" w:cs="맑은 고딕" w:eastAsia="맑은 고딕" w:hAnsi="맑은 고딕"/>
                <w:b/>
                <w:bCs/>
                <w:color w:val="111111"/>
                <w:sz w:val="20"/>
                <w:szCs w:val="20"/>
              </w:rPr>
              <w:t xml:space="preserve">지원 우선순위와 6개월 실행계획</w:t>
            </w:r>
          </w:p>
        </w:tc>
        <w:tc>
          <w:tcPr>
            <w:tcW w:type="dxa" w:w="3238"/>
            <w:tcMar>
              <w:top w:type="dxa" w:w="70"/>
              <w:left w:type="dxa" w:w="110"/>
              <w:bottom w:type="dxa" w:w="70"/>
              <w:right w:type="dxa" w:w="0"/>
            </w:tcMar>
            <w:vAlign w:val="center"/>
          </w:tcPr>
          <w:p>
            <w:pPr>
              <w:spacing w:after="0" w:before="0" w:line="264"/>
              <w:jc w:val="right"/>
            </w:pPr>
            <w:r>
              <w:rPr>
                <w:rFonts w:ascii="맑은 고딕" w:cs="맑은 고딕" w:eastAsia="맑은 고딕" w:hAnsi="맑은 고딕"/>
                <w:color w:val="9AA3AF"/>
                <w:sz w:val="15"/>
                <w:szCs w:val="15"/>
              </w:rPr>
              <w:t xml:space="preserve">Action Plan</w:t>
            </w:r>
          </w:p>
        </w:tc>
      </w:tr>
      <w:tr>
        <w:trPr>
          <w:cantSplit/>
        </w:trPr>
        <w:tc>
          <w:tcPr>
            <w:tcW w:type="dxa" w:w="1000"/>
            <w:tcMar>
              <w:top w:type="dxa" w:w="70"/>
              <w:left w:type="dxa" w:w="0"/>
              <w:bottom w:type="dxa" w:w="70"/>
              <w:right w:type="dxa" w:w="110"/>
            </w:tcMar>
            <w:vAlign w:val="center"/>
          </w:tcPr>
          <w:p>
            <w:pPr>
              <w:spacing w:after="0" w:before="0" w:line="264"/>
              <w:jc w:val="left"/>
            </w:pPr>
            <w:r>
              <w:rPr>
                <w:rFonts w:ascii="맑은 고딕" w:cs="맑은 고딕" w:eastAsia="맑은 고딕" w:hAnsi="맑은 고딕"/>
                <w:b/>
                <w:bCs/>
                <w:color w:val="2F6BFF"/>
                <w:sz w:val="22"/>
                <w:szCs w:val="22"/>
              </w:rPr>
              <w:t xml:space="preserve">07</w:t>
            </w:r>
          </w:p>
        </w:tc>
        <w:tc>
          <w:tcPr>
            <w:tcW w:type="dxa" w:w="5400"/>
            <w:tcMar>
              <w:top w:type="dxa" w:w="70"/>
              <w:left w:type="dxa" w:w="110"/>
              <w:bottom w:type="dxa" w:w="70"/>
              <w:right w:type="dxa" w:w="110"/>
            </w:tcMar>
            <w:vAlign w:val="center"/>
          </w:tcPr>
          <w:p>
            <w:pPr>
              <w:spacing w:after="0" w:before="0" w:line="264"/>
              <w:jc w:val="left"/>
            </w:pPr>
            <w:r>
              <w:rPr>
                <w:rFonts w:ascii="맑은 고딕" w:cs="맑은 고딕" w:eastAsia="맑은 고딕" w:hAnsi="맑은 고딕"/>
                <w:b/>
                <w:bCs/>
                <w:color w:val="111111"/>
                <w:sz w:val="20"/>
                <w:szCs w:val="20"/>
              </w:rPr>
              <w:t xml:space="preserve">단기 KPI와 최종 점검 기준</w:t>
            </w:r>
          </w:p>
        </w:tc>
        <w:tc>
          <w:tcPr>
            <w:tcW w:type="dxa" w:w="3238"/>
            <w:tcMar>
              <w:top w:type="dxa" w:w="70"/>
              <w:left w:type="dxa" w:w="110"/>
              <w:bottom w:type="dxa" w:w="70"/>
              <w:right w:type="dxa" w:w="0"/>
            </w:tcMar>
            <w:vAlign w:val="center"/>
          </w:tcPr>
          <w:p>
            <w:pPr>
              <w:spacing w:after="0" w:before="0" w:line="264"/>
              <w:jc w:val="right"/>
            </w:pPr>
            <w:r>
              <w:rPr>
                <w:rFonts w:ascii="맑은 고딕" w:cs="맑은 고딕" w:eastAsia="맑은 고딕" w:hAnsi="맑은 고딕"/>
                <w:color w:val="9AA3AF"/>
                <w:sz w:val="15"/>
                <w:szCs w:val="15"/>
              </w:rPr>
              <w:t xml:space="preserve">KPI and Review</w:t>
            </w:r>
          </w:p>
        </w:tc>
      </w:tr>
    </w:tbl>
    <w:p>
      <w:pPr>
        <w:keepNext/>
        <w:keepLines/>
        <w:spacing w:after="40" w:before="520" w:line="320"/>
        <w:jc w:val="left"/>
      </w:pPr>
      <w:r>
        <w:rPr>
          <w:rFonts w:ascii="맑은 고딕" w:cs="맑은 고딕" w:eastAsia="맑은 고딕" w:hAnsi="맑은 고딕"/>
          <w:b/>
          <w:bCs/>
          <w:color w:val="2F6BFF"/>
          <w:spacing w:val="60"/>
          <w:sz w:val="15"/>
          <w:szCs w:val="15"/>
        </w:rPr>
        <w:t xml:space="preserve">EXECUTIVE SUMMARY</w:t>
      </w:r>
    </w:p>
    <w:p>
      <w:pPr>
        <w:pStyle w:val="Heading1"/>
        <w:keepNext/>
        <w:pBdr>
          <w:bottom w:val="single" w:color="111111" w:sz="14"/>
        </w:pBdr>
        <w:spacing w:after="260" w:before="0" w:line="300"/>
      </w:pPr>
      <w:r>
        <w:rPr>
          <w:rFonts w:ascii="맑은 고딕" w:cs="맑은 고딕" w:eastAsia="맑은 고딕" w:hAnsi="맑은 고딕"/>
          <w:b/>
          <w:bCs/>
          <w:color w:val="2F6BFF"/>
          <w:sz w:val="40"/>
          <w:szCs w:val="40"/>
        </w:rPr>
        <w:t xml:space="preserve">00  </w:t>
      </w:r>
      <w:r>
        <w:rPr>
          <w:rFonts w:ascii="맑은 고딕" w:cs="맑은 고딕" w:eastAsia="맑은 고딕" w:hAnsi="맑은 고딕"/>
          <w:b/>
          <w:bCs/>
          <w:color w:val="111111"/>
          <w:sz w:val="34"/>
          <w:szCs w:val="34"/>
        </w:rPr>
        <w:t xml:space="preserve">종합 진단</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927"/>
        <w:gridCol w:w="1927"/>
        <w:gridCol w:w="1927"/>
        <w:gridCol w:w="1927"/>
        <w:gridCol w:w="1930"/>
      </w:tblGrid>
      <w:tr>
        <w:trPr>
          <w:cantSplit/>
        </w:trPr>
        <w:tc>
          <w:tcPr>
            <w:tcW w:type="dxa" w:w="1927"/>
            <w:tcBorders>
              <w:top w:val="single" w:color="111111"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유료 고객</w:t>
            </w:r>
          </w:p>
          <w:p>
            <w:pPr>
              <w:spacing w:after="40" w:before="0" w:line="380"/>
              <w:jc w:val="left"/>
            </w:pPr>
            <w:r>
              <w:rPr>
                <w:rFonts w:ascii="맑은 고딕" w:cs="맑은 고딕" w:eastAsia="맑은 고딕" w:hAnsi="맑은 고딕"/>
                <w:b/>
                <w:bCs/>
                <w:color w:val="0B1F4B"/>
                <w:sz w:val="34"/>
                <w:szCs w:val="34"/>
              </w:rPr>
              <w:t xml:space="preserve">18</w:t>
            </w:r>
            <w:r>
              <w:rPr>
                <w:rFonts w:ascii="맑은 고딕" w:cs="맑은 고딕" w:eastAsia="맑은 고딕" w:hAnsi="맑은 고딕"/>
                <w:b/>
                <w:bCs/>
                <w:color w:val="0B1F4B"/>
                <w:sz w:val="17"/>
                <w:szCs w:val="17"/>
              </w:rPr>
              <w:t xml:space="preserve"> 개사</w:t>
            </w:r>
          </w:p>
          <w:p>
            <w:pPr>
              <w:spacing w:after="0" w:before="0" w:line="240"/>
              <w:jc w:val="left"/>
            </w:pPr>
            <w:r>
              <w:rPr>
                <w:rFonts w:ascii="맑은 고딕" w:cs="맑은 고딕" w:eastAsia="맑은 고딕" w:hAnsi="맑은 고딕"/>
                <w:color w:val="6B7280"/>
                <w:sz w:val="14"/>
                <w:szCs w:val="14"/>
              </w:rPr>
              <w:t xml:space="preserve">PoC 12건 중 유료 전환 6건</w:t>
            </w:r>
          </w:p>
        </w:tc>
        <w:tc>
          <w:tcPr>
            <w:tcW w:type="dxa" w:w="1927"/>
            <w:tcBorders>
              <w:top w:val="single" w:color="111111"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연환산 반복매출</w:t>
            </w:r>
          </w:p>
          <w:p>
            <w:pPr>
              <w:spacing w:after="40" w:before="0" w:line="380"/>
              <w:jc w:val="left"/>
            </w:pPr>
            <w:r>
              <w:rPr>
                <w:rFonts w:ascii="맑은 고딕" w:cs="맑은 고딕" w:eastAsia="맑은 고딕" w:hAnsi="맑은 고딕"/>
                <w:b/>
                <w:bCs/>
                <w:color w:val="0B1F4B"/>
                <w:sz w:val="34"/>
                <w:szCs w:val="34"/>
              </w:rPr>
              <w:t xml:space="preserve">504</w:t>
            </w:r>
            <w:r>
              <w:rPr>
                <w:rFonts w:ascii="맑은 고딕" w:cs="맑은 고딕" w:eastAsia="맑은 고딕" w:hAnsi="맑은 고딕"/>
                <w:b/>
                <w:bCs/>
                <w:color w:val="0B1F4B"/>
                <w:sz w:val="17"/>
                <w:szCs w:val="17"/>
              </w:rPr>
              <w:t xml:space="preserve"> 백만원</w:t>
            </w:r>
          </w:p>
          <w:p>
            <w:pPr>
              <w:spacing w:after="0" w:before="0" w:line="240"/>
              <w:jc w:val="left"/>
            </w:pPr>
            <w:r>
              <w:rPr>
                <w:rFonts w:ascii="맑은 고딕" w:cs="맑은 고딕" w:eastAsia="맑은 고딕" w:hAnsi="맑은 고딕"/>
                <w:color w:val="6B7280"/>
                <w:sz w:val="14"/>
                <w:szCs w:val="14"/>
              </w:rPr>
              <w:t xml:space="preserve">9월 MRR 42 × 12</w:t>
            </w:r>
          </w:p>
        </w:tc>
        <w:tc>
          <w:tcPr>
            <w:tcW w:type="dxa" w:w="1927"/>
            <w:tcBorders>
              <w:top w:val="single" w:color="111111"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공헌이익률</w:t>
            </w:r>
          </w:p>
          <w:p>
            <w:pPr>
              <w:spacing w:after="40" w:before="0" w:line="380"/>
              <w:jc w:val="left"/>
            </w:pPr>
            <w:r>
              <w:rPr>
                <w:rFonts w:ascii="맑은 고딕" w:cs="맑은 고딕" w:eastAsia="맑은 고딕" w:hAnsi="맑은 고딕"/>
                <w:b/>
                <w:bCs/>
                <w:color w:val="0B1F4B"/>
                <w:sz w:val="34"/>
                <w:szCs w:val="34"/>
              </w:rPr>
              <w:t xml:space="preserve">50.0</w:t>
            </w:r>
            <w:r>
              <w:rPr>
                <w:rFonts w:ascii="맑은 고딕" w:cs="맑은 고딕" w:eastAsia="맑은 고딕" w:hAnsi="맑은 고딕"/>
                <w:b/>
                <w:bCs/>
                <w:color w:val="0B1F4B"/>
                <w:sz w:val="17"/>
                <w:szCs w:val="17"/>
              </w:rPr>
              <w:t xml:space="preserve"> %</w:t>
            </w:r>
          </w:p>
          <w:p>
            <w:pPr>
              <w:spacing w:after="0" w:before="0" w:line="240"/>
              <w:jc w:val="left"/>
            </w:pPr>
            <w:r>
              <w:rPr>
                <w:rFonts w:ascii="맑은 고딕" w:cs="맑은 고딕" w:eastAsia="맑은 고딕" w:hAnsi="맑은 고딕"/>
                <w:color w:val="6B7280"/>
                <w:sz w:val="14"/>
                <w:szCs w:val="14"/>
              </w:rPr>
              <w:t xml:space="preserve">9월 누적, 315 ÷ 630</w:t>
            </w:r>
          </w:p>
        </w:tc>
        <w:tc>
          <w:tcPr>
            <w:tcW w:type="dxa" w:w="1927"/>
            <w:tcBorders>
              <w:top w:val="single" w:color="111111"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영업이익률</w:t>
            </w:r>
          </w:p>
          <w:p>
            <w:pPr>
              <w:spacing w:after="40" w:before="0" w:line="380"/>
              <w:jc w:val="left"/>
            </w:pPr>
            <w:r>
              <w:rPr>
                <w:rFonts w:ascii="맑은 고딕" w:cs="맑은 고딕" w:eastAsia="맑은 고딕" w:hAnsi="맑은 고딕"/>
                <w:b/>
                <w:bCs/>
                <w:color w:val="2F6BFF"/>
                <w:sz w:val="34"/>
                <w:szCs w:val="34"/>
              </w:rPr>
              <w:t xml:space="preserve">-19.0</w:t>
            </w:r>
            <w:r>
              <w:rPr>
                <w:rFonts w:ascii="맑은 고딕" w:cs="맑은 고딕" w:eastAsia="맑은 고딕" w:hAnsi="맑은 고딕"/>
                <w:b/>
                <w:bCs/>
                <w:color w:val="0B1F4B"/>
                <w:sz w:val="17"/>
                <w:szCs w:val="17"/>
              </w:rPr>
              <w:t xml:space="preserve"> %</w:t>
            </w:r>
          </w:p>
          <w:p>
            <w:pPr>
              <w:spacing w:after="0" w:before="0" w:line="240"/>
              <w:jc w:val="left"/>
            </w:pPr>
            <w:r>
              <w:rPr>
                <w:rFonts w:ascii="맑은 고딕" w:cs="맑은 고딕" w:eastAsia="맑은 고딕" w:hAnsi="맑은 고딕"/>
                <w:color w:val="6B7280"/>
                <w:sz w:val="14"/>
                <w:szCs w:val="14"/>
              </w:rPr>
              <w:t xml:space="preserve">9월 누적, -120 ÷ 630</w:t>
            </w:r>
          </w:p>
        </w:tc>
        <w:tc>
          <w:tcPr>
            <w:tcW w:type="dxa" w:w="1930"/>
            <w:tcBorders>
              <w:top w:val="single" w:color="111111"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현금 운영 가능</w:t>
            </w:r>
          </w:p>
          <w:p>
            <w:pPr>
              <w:spacing w:after="40" w:before="0" w:line="380"/>
              <w:jc w:val="left"/>
            </w:pPr>
            <w:r>
              <w:rPr>
                <w:rFonts w:ascii="맑은 고딕" w:cs="맑은 고딕" w:eastAsia="맑은 고딕" w:hAnsi="맑은 고딕"/>
                <w:b/>
                <w:bCs/>
                <w:color w:val="0B1F4B"/>
                <w:sz w:val="34"/>
                <w:szCs w:val="34"/>
              </w:rPr>
              <w:t xml:space="preserve">약 8</w:t>
            </w:r>
            <w:r>
              <w:rPr>
                <w:rFonts w:ascii="맑은 고딕" w:cs="맑은 고딕" w:eastAsia="맑은 고딕" w:hAnsi="맑은 고딕"/>
                <w:b/>
                <w:bCs/>
                <w:color w:val="0B1F4B"/>
                <w:sz w:val="17"/>
                <w:szCs w:val="17"/>
              </w:rPr>
              <w:t xml:space="preserve"> 개월</w:t>
            </w:r>
          </w:p>
          <w:p>
            <w:pPr>
              <w:spacing w:after="0" w:before="0" w:line="240"/>
              <w:jc w:val="left"/>
            </w:pPr>
            <w:r>
              <w:rPr>
                <w:rFonts w:ascii="맑은 고딕" w:cs="맑은 고딕" w:eastAsia="맑은 고딕" w:hAnsi="맑은 고딕"/>
                <w:color w:val="6B7280"/>
                <w:sz w:val="14"/>
                <w:szCs w:val="14"/>
              </w:rPr>
              <w:t xml:space="preserve">가용현금 280, 월 유출 35</w:t>
            </w:r>
          </w:p>
        </w:tc>
      </w:tr>
    </w:tbl>
    <w:p>
      <w:pPr>
        <w:keepLines/>
        <w:spacing w:after="180" w:before="50" w:line="240"/>
        <w:jc w:val="left"/>
      </w:pPr>
      <w:r>
        <w:rPr>
          <w:rFonts w:ascii="맑은 고딕" w:cs="맑은 고딕" w:eastAsia="맑은 고딕" w:hAnsi="맑은 고딕"/>
          <w:color w:val="9AA3AF"/>
          <w:sz w:val="14"/>
          <w:szCs w:val="14"/>
        </w:rPr>
        <w:t xml:space="preserve">주: 2026년 9월 30일 기준. 금액은 백만원</w:t>
      </w:r>
    </w:p>
    <w:p>
      <w:pPr>
        <w:keepLines/>
        <w:spacing w:after="130" w:before="0" w:line="320"/>
        <w:jc w:val="both"/>
      </w:pPr>
      <w:r>
        <w:rPr>
          <w:rFonts w:ascii="맑은 고딕" w:cs="맑은 고딕" w:eastAsia="맑은 고딕" w:hAnsi="맑은 고딕"/>
          <w:b w:val="false"/>
          <w:bCs w:val="false"/>
          <w:color w:val="262A33"/>
          <w:sz w:val="19"/>
          <w:szCs w:val="19"/>
        </w:rPr>
        <w:t xml:space="preserve">한결팩토리는 중소 제조기업의 불량 원인 분석을 지원하는 소프트웨어 기업이다. 유료 고객 18개사와 매출 발생 단계의 제품을 확보했으나, 고객별 구축 업무와 대표 중심 영업에 의존한다. </w:t>
      </w:r>
      <w:r>
        <w:rPr>
          <w:rFonts w:ascii="맑은 고딕" w:cs="맑은 고딕" w:eastAsia="맑은 고딕" w:hAnsi="맑은 고딕"/>
          <w:b/>
          <w:bCs/>
          <w:color w:val="111111"/>
          <w:sz w:val="19"/>
          <w:szCs w:val="19"/>
        </w:rPr>
        <w:t xml:space="preserve">향후 6개월은 신규 시장 확대보다 표준 상품의 반복 판매와 현금흐름 관리에 집중하는 것이 적절하다.</w:t>
      </w:r>
    </w:p>
    <w:p>
      <w:pPr>
        <w:keepNext/>
        <w:keepLines/>
        <w:spacing w:after="70" w:before="120" w:line="260"/>
        <w:jc w:val="left"/>
      </w:pPr>
      <w:r>
        <w:rPr>
          <w:rFonts w:ascii="맑은 고딕" w:cs="맑은 고딕" w:eastAsia="맑은 고딕" w:hAnsi="맑은 고딕"/>
          <w:b/>
          <w:bCs/>
          <w:color w:val="2F6BFF"/>
          <w:sz w:val="16"/>
          <w:szCs w:val="16"/>
        </w:rPr>
        <w:t xml:space="preserve">표 00-1  </w:t>
      </w:r>
      <w:r>
        <w:rPr>
          <w:rFonts w:ascii="맑은 고딕" w:cs="맑은 고딕" w:eastAsia="맑은 고딕" w:hAnsi="맑은 고딕"/>
          <w:b/>
          <w:bCs/>
          <w:color w:val="111111"/>
          <w:sz w:val="16"/>
          <w:szCs w:val="16"/>
        </w:rPr>
        <w:t xml:space="preserve">영역별 진단 판정</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1908"/>
        <w:gridCol w:w="1506"/>
        <w:gridCol w:w="6224"/>
      </w:tblGrid>
      <w:tr>
        <w:trPr>
          <w:cantSplit/>
          <w:tblHeader/>
        </w:trPr>
        <w:tc>
          <w:tcPr>
            <w:tcW w:type="dxa" w:w="1908"/>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진단 영역</w:t>
            </w:r>
          </w:p>
        </w:tc>
        <w:tc>
          <w:tcPr>
            <w:tcW w:type="dxa" w:w="1506"/>
            <w:shd w:fill="0B1F4B" w:color="auto" w:val="clear"/>
            <w:tcMar>
              <w:top w:type="dxa" w:w="90"/>
              <w:left w:type="dxa" w:w="110"/>
              <w:bottom w:type="dxa" w:w="90"/>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판정</w:t>
            </w:r>
          </w:p>
        </w:tc>
        <w:tc>
          <w:tcPr>
            <w:tcW w:type="dxa" w:w="6224"/>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핵심 근거</w:t>
            </w:r>
          </w:p>
        </w:tc>
      </w:tr>
      <w:tr>
        <w:trPr>
          <w:cantSplit/>
        </w:trPr>
        <w:tc>
          <w:tcPr>
            <w:tcW w:type="dxa" w:w="1908"/>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제품과 고객 검증</w:t>
            </w:r>
          </w:p>
        </w:tc>
        <w:tc>
          <w:tcPr>
            <w:tcW w:type="dxa" w:w="1506"/>
            <w:shd w:fill="2F6B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양호</w:t>
            </w:r>
          </w:p>
        </w:tc>
        <w:tc>
          <w:tcPr>
            <w:tcW w:type="dxa" w:w="6224"/>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유료 고객 18개사, PoC 12건 중 유료 전환 6건</w:t>
            </w:r>
          </w:p>
        </w:tc>
      </w:tr>
      <w:tr>
        <w:trPr>
          <w:cantSplit/>
        </w:trPr>
        <w:tc>
          <w:tcPr>
            <w:tcW w:type="dxa" w:w="1908"/>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수익 구조</w:t>
            </w:r>
          </w:p>
        </w:tc>
        <w:tc>
          <w:tcPr>
            <w:tcW w:type="dxa" w:w="1506"/>
            <w:shd w:fill="EAF1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0B1F4B"/>
                <w:sz w:val="16"/>
                <w:szCs w:val="16"/>
              </w:rPr>
              <w:t xml:space="preserve">개선 필요</w:t>
            </w:r>
          </w:p>
        </w:tc>
        <w:tc>
          <w:tcPr>
            <w:tcW w:type="dxa" w:w="6224"/>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공헌이익률 50.0%, 영업이익률 -19.0%</w:t>
            </w:r>
          </w:p>
        </w:tc>
      </w:tr>
      <w:tr>
        <w:trPr>
          <w:cantSplit/>
        </w:trPr>
        <w:tc>
          <w:tcPr>
            <w:tcW w:type="dxa" w:w="1908"/>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재무 지속성</w:t>
            </w:r>
          </w:p>
        </w:tc>
        <w:tc>
          <w:tcPr>
            <w:tcW w:type="dxa" w:w="1506"/>
            <w:shd w:fill="111111"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우선 관리</w:t>
            </w:r>
          </w:p>
        </w:tc>
        <w:tc>
          <w:tcPr>
            <w:tcW w:type="dxa" w:w="6224"/>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가용현금 280, 월 순현금유출 35 가정 시 약 8개월</w:t>
            </w:r>
          </w:p>
        </w:tc>
      </w:tr>
      <w:tr>
        <w:trPr>
          <w:cantSplit/>
        </w:trPr>
        <w:tc>
          <w:tcPr>
            <w:tcW w:type="dxa" w:w="1908"/>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영업과 조직</w:t>
            </w:r>
          </w:p>
        </w:tc>
        <w:tc>
          <w:tcPr>
            <w:tcW w:type="dxa" w:w="1506"/>
            <w:shd w:fill="EAF1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0B1F4B"/>
                <w:sz w:val="16"/>
                <w:szCs w:val="16"/>
              </w:rPr>
              <w:t xml:space="preserve">개선 필요</w:t>
            </w:r>
          </w:p>
        </w:tc>
        <w:tc>
          <w:tcPr>
            <w:tcW w:type="dxa" w:w="6224"/>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상위 3개 고객 매출 비중 55%, 대표 동행 영업 80%</w:t>
            </w:r>
          </w:p>
        </w:tc>
      </w:tr>
      <w:tr>
        <w:trPr>
          <w:cantSplit/>
        </w:trPr>
        <w:tc>
          <w:tcPr>
            <w:tcW w:type="dxa" w:w="1908"/>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성장 자금 준비</w:t>
            </w:r>
          </w:p>
        </w:tc>
        <w:tc>
          <w:tcPr>
            <w:tcW w:type="dxa" w:w="1506"/>
            <w:shd w:fill="E4E8E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0B1F4B"/>
                <w:sz w:val="16"/>
                <w:szCs w:val="16"/>
              </w:rPr>
              <w:t xml:space="preserve">보완 후 추진</w:t>
            </w:r>
          </w:p>
        </w:tc>
        <w:tc>
          <w:tcPr>
            <w:tcW w:type="dxa" w:w="6224"/>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Pre-A 희망 1,500, 반복 매출과 영업 체계 증빙 필요</w:t>
            </w:r>
          </w:p>
        </w:tc>
      </w:tr>
    </w:tbl>
    <w:p>
      <w:pPr>
        <w:keepLines/>
        <w:spacing w:after="120" w:before="60" w:line="320"/>
        <w:jc w:val="left"/>
      </w:pPr>
      <w:r>
        <w:rPr>
          <w:rFonts w:ascii="맑은 고딕" w:cs="맑은 고딕" w:eastAsia="맑은 고딕" w:hAnsi="맑은 고딕"/>
          <w:b/>
          <w:bCs/>
          <w:color w:val="0B1F4B"/>
          <w:sz w:val="14"/>
          <w:szCs w:val="14"/>
        </w:rPr>
        <w:t xml:space="preserve">판정 기준  </w:t>
      </w:r>
      <w:r>
        <w:rPr>
          <w:rFonts w:ascii="맑은 고딕" w:cs="맑은 고딕" w:eastAsia="맑은 고딕" w:hAnsi="맑은 고딕"/>
          <w:color w:val="6B7280"/>
          <w:sz w:val="14"/>
          <w:szCs w:val="14"/>
        </w:rPr>
        <w:t xml:space="preserve">양호: 현 수준 유지   |   개선 필요: 6개월 내 개선 과제   |   우선 관리: 즉시 관리   |   보완 후 추진: 증빙 보완 뒤 실행</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경영진이 먼저 결정할 세 가지</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12"/>
        <w:gridCol w:w="3212"/>
        <w:gridCol w:w="3214"/>
      </w:tblGrid>
      <w:tr>
        <w:trPr>
          <w:cantSplit/>
        </w:trPr>
        <w:tc>
          <w:tcPr>
            <w:tcW w:type="dxa" w:w="3212"/>
            <w:tcBorders>
              <w:top w:val="single" w:color="2F6BFF" w:sz="18"/>
              <w:left w:val="single" w:color="FFFFFF" w:sz="30"/>
              <w:bottom w:val="single" w:color="D5DBE5" w:sz="4"/>
              <w:right w:val="single" w:color="FFFFFF" w:sz="30"/>
            </w:tcBorders>
            <w:shd w:fill="FFFFFF" w:color="auto" w:val="clear"/>
            <w:tcMar>
              <w:top w:type="dxa" w:w="120"/>
              <w:left w:type="dxa" w:w="140"/>
              <w:bottom w:type="dxa" w:w="140"/>
              <w:right w:type="dxa" w:w="140"/>
            </w:tcMar>
            <w:vAlign w:val="top"/>
          </w:tcPr>
          <w:p>
            <w:pPr>
              <w:spacing w:after="40" w:before="0" w:line="340"/>
              <w:jc w:val="left"/>
            </w:pPr>
            <w:r>
              <w:rPr>
                <w:rFonts w:ascii="맑은 고딕" w:cs="맑은 고딕" w:eastAsia="맑은 고딕" w:hAnsi="맑은 고딕"/>
                <w:b/>
                <w:bCs/>
                <w:color w:val="2F6BFF"/>
                <w:sz w:val="30"/>
                <w:szCs w:val="30"/>
              </w:rPr>
              <w:t xml:space="preserve">01</w:t>
            </w:r>
          </w:p>
          <w:p>
            <w:pPr>
              <w:spacing w:after="70" w:before="0" w:line="264"/>
              <w:jc w:val="left"/>
            </w:pPr>
            <w:r>
              <w:rPr>
                <w:rFonts w:ascii="맑은 고딕" w:cs="맑은 고딕" w:eastAsia="맑은 고딕" w:hAnsi="맑은 고딕"/>
                <w:b/>
                <w:bCs/>
                <w:color w:val="111111"/>
                <w:sz w:val="19"/>
                <w:szCs w:val="19"/>
              </w:rPr>
              <w:t xml:space="preserve">표준 제품 집중</w:t>
            </w:r>
          </w:p>
          <w:p>
            <w:pPr>
              <w:spacing w:after="0" w:before="0" w:line="270"/>
              <w:jc w:val="left"/>
            </w:pPr>
            <w:r>
              <w:rPr>
                <w:rFonts w:ascii="맑은 고딕" w:cs="맑은 고딕" w:eastAsia="맑은 고딕" w:hAnsi="맑은 고딕"/>
                <w:b w:val="false"/>
                <w:bCs w:val="false"/>
                <w:color w:val="262A33"/>
                <w:sz w:val="16"/>
                <w:szCs w:val="16"/>
              </w:rPr>
              <w:t xml:space="preserve">표준형 제품에 개발 자원의 </w:t>
            </w:r>
            <w:r>
              <w:rPr>
                <w:rFonts w:ascii="맑은 고딕" w:cs="맑은 고딕" w:eastAsia="맑은 고딕" w:hAnsi="맑은 고딕"/>
                <w:b/>
                <w:bCs/>
                <w:color w:val="111111"/>
                <w:sz w:val="16"/>
                <w:szCs w:val="16"/>
              </w:rPr>
              <w:t xml:space="preserve">70%</w:t>
            </w:r>
            <w:r>
              <w:rPr>
                <w:rFonts w:ascii="맑은 고딕" w:cs="맑은 고딕" w:eastAsia="맑은 고딕" w:hAnsi="맑은 고딕"/>
                <w:b w:val="false"/>
                <w:bCs w:val="false"/>
                <w:color w:val="262A33"/>
                <w:sz w:val="16"/>
                <w:szCs w:val="16"/>
              </w:rPr>
              <w:t xml:space="preserve">를 배정하고, 개별 고객의 추가 개발은 별도 견적으로 관리한다.</w:t>
            </w:r>
          </w:p>
        </w:tc>
        <w:tc>
          <w:tcPr>
            <w:tcW w:type="dxa" w:w="3212"/>
            <w:tcBorders>
              <w:top w:val="single" w:color="2F6BFF" w:sz="18"/>
              <w:left w:val="single" w:color="FFFFFF" w:sz="30"/>
              <w:bottom w:val="single" w:color="D5DBE5" w:sz="4"/>
              <w:right w:val="single" w:color="FFFFFF" w:sz="30"/>
            </w:tcBorders>
            <w:shd w:fill="FFFFFF" w:color="auto" w:val="clear"/>
            <w:tcMar>
              <w:top w:type="dxa" w:w="120"/>
              <w:left w:type="dxa" w:w="140"/>
              <w:bottom w:type="dxa" w:w="140"/>
              <w:right w:type="dxa" w:w="140"/>
            </w:tcMar>
            <w:vAlign w:val="top"/>
          </w:tcPr>
          <w:p>
            <w:pPr>
              <w:spacing w:after="40" w:before="0" w:line="340"/>
              <w:jc w:val="left"/>
            </w:pPr>
            <w:r>
              <w:rPr>
                <w:rFonts w:ascii="맑은 고딕" w:cs="맑은 고딕" w:eastAsia="맑은 고딕" w:hAnsi="맑은 고딕"/>
                <w:b/>
                <w:bCs/>
                <w:color w:val="2F6BFF"/>
                <w:sz w:val="30"/>
                <w:szCs w:val="30"/>
              </w:rPr>
              <w:t xml:space="preserve">02</w:t>
            </w:r>
          </w:p>
          <w:p>
            <w:pPr>
              <w:spacing w:after="70" w:before="0" w:line="264"/>
              <w:jc w:val="left"/>
            </w:pPr>
            <w:r>
              <w:rPr>
                <w:rFonts w:ascii="맑은 고딕" w:cs="맑은 고딕" w:eastAsia="맑은 고딕" w:hAnsi="맑은 고딕"/>
                <w:b/>
                <w:bCs/>
                <w:color w:val="111111"/>
                <w:sz w:val="19"/>
                <w:szCs w:val="19"/>
              </w:rPr>
              <w:t xml:space="preserve">13주 현금계획</w:t>
            </w:r>
          </w:p>
          <w:p>
            <w:pPr>
              <w:spacing w:after="0" w:before="0" w:line="270"/>
              <w:jc w:val="left"/>
            </w:pPr>
            <w:r>
              <w:rPr>
                <w:rFonts w:ascii="맑은 고딕" w:cs="맑은 고딕" w:eastAsia="맑은 고딕" w:hAnsi="맑은 고딕"/>
                <w:b w:val="false"/>
                <w:bCs w:val="false"/>
                <w:color w:val="262A33"/>
                <w:sz w:val="16"/>
                <w:szCs w:val="16"/>
              </w:rPr>
              <w:t xml:space="preserve">13주 현금계획을 </w:t>
            </w:r>
            <w:r>
              <w:rPr>
                <w:rFonts w:ascii="맑은 고딕" w:cs="맑은 고딕" w:eastAsia="맑은 고딕" w:hAnsi="맑은 고딕"/>
                <w:b/>
                <w:bCs/>
                <w:color w:val="111111"/>
                <w:sz w:val="16"/>
                <w:szCs w:val="16"/>
              </w:rPr>
              <w:t xml:space="preserve">매주 갱신</w:t>
            </w:r>
            <w:r>
              <w:rPr>
                <w:rFonts w:ascii="맑은 고딕" w:cs="맑은 고딕" w:eastAsia="맑은 고딕" w:hAnsi="맑은 고딕"/>
                <w:b w:val="false"/>
                <w:bCs w:val="false"/>
                <w:color w:val="262A33"/>
                <w:sz w:val="16"/>
                <w:szCs w:val="16"/>
              </w:rPr>
              <w:t xml:space="preserve">하고, 추가 채용은 계약 및 현금 잔액 조건에 따라 나누어 진행한다.</w:t>
            </w:r>
          </w:p>
        </w:tc>
        <w:tc>
          <w:tcPr>
            <w:tcW w:type="dxa" w:w="3214"/>
            <w:tcBorders>
              <w:top w:val="single" w:color="2F6BFF" w:sz="18"/>
              <w:left w:val="single" w:color="FFFFFF" w:sz="30"/>
              <w:bottom w:val="single" w:color="D5DBE5" w:sz="4"/>
              <w:right w:val="single" w:color="FFFFFF" w:sz="30"/>
            </w:tcBorders>
            <w:shd w:fill="FFFFFF" w:color="auto" w:val="clear"/>
            <w:tcMar>
              <w:top w:type="dxa" w:w="120"/>
              <w:left w:type="dxa" w:w="140"/>
              <w:bottom w:type="dxa" w:w="140"/>
              <w:right w:type="dxa" w:w="140"/>
            </w:tcMar>
            <w:vAlign w:val="top"/>
          </w:tcPr>
          <w:p>
            <w:pPr>
              <w:spacing w:after="40" w:before="0" w:line="340"/>
              <w:jc w:val="left"/>
            </w:pPr>
            <w:r>
              <w:rPr>
                <w:rFonts w:ascii="맑은 고딕" w:cs="맑은 고딕" w:eastAsia="맑은 고딕" w:hAnsi="맑은 고딕"/>
                <w:b/>
                <w:bCs/>
                <w:color w:val="2F6BFF"/>
                <w:sz w:val="30"/>
                <w:szCs w:val="30"/>
              </w:rPr>
              <w:t xml:space="preserve">03</w:t>
            </w:r>
          </w:p>
          <w:p>
            <w:pPr>
              <w:spacing w:after="70" w:before="0" w:line="264"/>
              <w:jc w:val="left"/>
            </w:pPr>
            <w:r>
              <w:rPr>
                <w:rFonts w:ascii="맑은 고딕" w:cs="맑은 고딕" w:eastAsia="맑은 고딕" w:hAnsi="맑은 고딕"/>
                <w:b/>
                <w:bCs/>
                <w:color w:val="111111"/>
                <w:sz w:val="19"/>
                <w:szCs w:val="19"/>
              </w:rPr>
              <w:t xml:space="preserve">영업 체계 이관</w:t>
            </w:r>
          </w:p>
          <w:p>
            <w:pPr>
              <w:spacing w:after="0" w:before="0" w:line="270"/>
              <w:jc w:val="left"/>
            </w:pPr>
            <w:r>
              <w:rPr>
                <w:rFonts w:ascii="맑은 고딕" w:cs="맑은 고딕" w:eastAsia="맑은 고딕" w:hAnsi="맑은 고딕"/>
                <w:b w:val="false"/>
                <w:bCs w:val="false"/>
                <w:color w:val="262A33"/>
                <w:sz w:val="16"/>
                <w:szCs w:val="16"/>
              </w:rPr>
              <w:t xml:space="preserve">영업 전담자를 배치해 </w:t>
            </w:r>
            <w:r>
              <w:rPr>
                <w:rFonts w:ascii="맑은 고딕" w:cs="맑은 고딕" w:eastAsia="맑은 고딕" w:hAnsi="맑은 고딕"/>
                <w:b/>
                <w:bCs/>
                <w:color w:val="111111"/>
                <w:sz w:val="16"/>
                <w:szCs w:val="16"/>
              </w:rPr>
              <w:t xml:space="preserve">대표 없이도</w:t>
            </w:r>
            <w:r>
              <w:rPr>
                <w:rFonts w:ascii="맑은 고딕" w:cs="맑은 고딕" w:eastAsia="맑은 고딕" w:hAnsi="맑은 고딕"/>
                <w:b w:val="false"/>
                <w:bCs w:val="false"/>
                <w:color w:val="262A33"/>
                <w:sz w:val="16"/>
                <w:szCs w:val="16"/>
              </w:rPr>
              <w:t xml:space="preserve"> 제안부터 계약까지 진행할 수 있는 절차를 만든다.</w:t>
            </w:r>
          </w:p>
        </w:tc>
      </w:tr>
    </w:tbl>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평가 범위와 해석</w:t>
      </w:r>
    </w:p>
    <w:p>
      <w:pPr>
        <w:keepLines/>
        <w:spacing w:after="130" w:before="0" w:line="320"/>
        <w:jc w:val="both"/>
      </w:pPr>
      <w:r>
        <w:rPr>
          <w:rFonts w:ascii="맑은 고딕" w:cs="맑은 고딕" w:eastAsia="맑은 고딕" w:hAnsi="맑은 고딕"/>
          <w:b w:val="false"/>
          <w:bCs w:val="false"/>
          <w:color w:val="262A33"/>
          <w:sz w:val="19"/>
          <w:szCs w:val="19"/>
        </w:rPr>
        <w:t xml:space="preserve">첨부 양식의 8개 영역을 기업 및 조직, 재무, 사업성, 전략, 성장 자금, 지원 계획, KPI로 재구성했다. 판정은 가상 사례의 내부 개선 우선순위이며 공인 등급이나 업종 평균과의 비교가 아니다. 금액은 별도 표시가 없으면 백만원이다.</w:t>
      </w:r>
    </w:p>
    <w:tbl>
      <w:tblPr>
        <w:tblW w:type="dxa" w:w="9638"/>
        <w:tblBorders>
          <w:top w:val="none" w:color="FFFFFF" w:sz="0"/>
          <w:left w:val="single" w:color="2F6BFF" w:sz="30"/>
          <w:bottom w:val="none" w:color="FFFFFF" w:sz="0"/>
          <w:right w:val="none" w:color="FFFFFF" w:sz="0"/>
          <w:insideH w:val="none" w:color="FFFFFF" w:sz="0"/>
          <w:insideV w:val="none" w:color="FFFFFF" w:sz="0"/>
        </w:tblBorders>
      </w:tblPr>
      <w:tblGrid>
        <w:gridCol w:w="9638"/>
      </w:tblGrid>
      <w:tr>
        <w:trPr>
          <w:cantSplit/>
        </w:trPr>
        <w:tc>
          <w:tcPr>
            <w:tcW w:type="dxa" w:w="9638"/>
            <w:shd w:fill="EAF1FF" w:color="auto" w:val="clear"/>
            <w:tcMar>
              <w:top w:type="dxa" w:w="150"/>
              <w:left w:type="dxa" w:w="240"/>
              <w:bottom w:type="dxa" w:w="150"/>
              <w:right w:type="dxa" w:w="200"/>
            </w:tcMar>
            <w:vAlign w:val="center"/>
          </w:tcPr>
          <w:p>
            <w:pPr>
              <w:spacing w:after="50" w:before="0" w:line="264"/>
              <w:jc w:val="left"/>
            </w:pPr>
            <w:r>
              <w:rPr>
                <w:rFonts w:ascii="맑은 고딕" w:cs="맑은 고딕" w:eastAsia="맑은 고딕" w:hAnsi="맑은 고딕"/>
                <w:b/>
                <w:bCs/>
                <w:color w:val="2F6BFF"/>
                <w:spacing w:val="20"/>
                <w:sz w:val="16"/>
                <w:szCs w:val="16"/>
              </w:rPr>
              <w:t xml:space="preserve">더미 파일 안내</w:t>
            </w:r>
          </w:p>
          <w:p>
            <w:pPr>
              <w:spacing w:after="0" w:before="0" w:line="300"/>
              <w:jc w:val="left"/>
            </w:pPr>
            <w:r>
              <w:rPr>
                <w:rFonts w:ascii="맑은 고딕" w:cs="맑은 고딕" w:eastAsia="맑은 고딕" w:hAnsi="맑은 고딕"/>
                <w:b w:val="false"/>
                <w:bCs w:val="false"/>
                <w:color w:val="262A33"/>
                <w:sz w:val="17"/>
                <w:szCs w:val="17"/>
              </w:rPr>
              <w:t xml:space="preserve">이 보고서의 기업, 인물, 재무수치, 고객 실적과 평가 결과는 모두 가상입니다. 실제 기업에 대한 실사나 투자 판단 자료가 아닙니다. 정부지원사업의 선정 이력과 계획도 예시이며 실제 공고나 자격을 확인한 내용이 아닙니다.</w:t>
            </w:r>
          </w:p>
        </w:tc>
      </w:tr>
    </w:tbl>
    <w:p>
      <w:pPr>
        <w:keepNext/>
        <w:keepLines/>
        <w:spacing w:after="40" w:before="520" w:line="320"/>
        <w:jc w:val="left"/>
      </w:pPr>
      <w:r>
        <w:rPr>
          <w:rFonts w:ascii="맑은 고딕" w:cs="맑은 고딕" w:eastAsia="맑은 고딕" w:hAnsi="맑은 고딕"/>
          <w:b/>
          <w:bCs/>
          <w:color w:val="2F6BFF"/>
          <w:spacing w:val="60"/>
          <w:sz w:val="15"/>
          <w:szCs w:val="15"/>
        </w:rPr>
        <w:t xml:space="preserve">CORPORATE OVERVIEW</w:t>
      </w:r>
    </w:p>
    <w:p>
      <w:pPr>
        <w:pStyle w:val="Heading1"/>
        <w:keepNext/>
        <w:pBdr>
          <w:bottom w:val="single" w:color="111111" w:sz="14"/>
        </w:pBdr>
        <w:spacing w:after="260" w:before="0" w:line="300"/>
      </w:pPr>
      <w:r>
        <w:rPr>
          <w:rFonts w:ascii="맑은 고딕" w:cs="맑은 고딕" w:eastAsia="맑은 고딕" w:hAnsi="맑은 고딕"/>
          <w:b/>
          <w:bCs/>
          <w:color w:val="2F6BFF"/>
          <w:sz w:val="40"/>
          <w:szCs w:val="40"/>
        </w:rPr>
        <w:t xml:space="preserve">01  </w:t>
      </w:r>
      <w:r>
        <w:rPr>
          <w:rFonts w:ascii="맑은 고딕" w:cs="맑은 고딕" w:eastAsia="맑은 고딕" w:hAnsi="맑은 고딕"/>
          <w:b/>
          <w:bCs/>
          <w:color w:val="111111"/>
          <w:sz w:val="34"/>
          <w:szCs w:val="34"/>
        </w:rPr>
        <w:t xml:space="preserve">기업과 조직 현황</w:t>
      </w:r>
    </w:p>
    <w:p>
      <w:pPr>
        <w:keepNext/>
        <w:keepLines/>
        <w:spacing w:after="70" w:before="120" w:line="260"/>
        <w:jc w:val="left"/>
      </w:pPr>
      <w:r>
        <w:rPr>
          <w:rFonts w:ascii="맑은 고딕" w:cs="맑은 고딕" w:eastAsia="맑은 고딕" w:hAnsi="맑은 고딕"/>
          <w:b/>
          <w:bCs/>
          <w:color w:val="2F6BFF"/>
          <w:sz w:val="16"/>
          <w:szCs w:val="16"/>
        </w:rPr>
        <w:t xml:space="preserve">표 01-1  </w:t>
      </w:r>
      <w:r>
        <w:rPr>
          <w:rFonts w:ascii="맑은 고딕" w:cs="맑은 고딕" w:eastAsia="맑은 고딕" w:hAnsi="맑은 고딕"/>
          <w:b/>
          <w:bCs/>
          <w:color w:val="111111"/>
          <w:sz w:val="16"/>
          <w:szCs w:val="16"/>
        </w:rPr>
        <w:t xml:space="preserve">기업 개요</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2209"/>
        <w:gridCol w:w="7429"/>
      </w:tblGrid>
      <w:tr>
        <w:trPr>
          <w:cantSplit/>
          <w:tblHeader/>
        </w:trPr>
        <w:tc>
          <w:tcPr>
            <w:tcW w:type="dxa" w:w="2209"/>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항목</w:t>
            </w:r>
          </w:p>
        </w:tc>
        <w:tc>
          <w:tcPr>
            <w:tcW w:type="dxa" w:w="7429"/>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가상 입력값</w:t>
            </w:r>
          </w:p>
        </w:tc>
      </w:tr>
      <w:tr>
        <w:trPr>
          <w:cantSplit/>
        </w:trPr>
        <w:tc>
          <w:tcPr>
            <w:tcW w:type="dxa" w:w="2209"/>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기업명과 대표</w:t>
            </w:r>
          </w:p>
        </w:tc>
        <w:tc>
          <w:tcPr>
            <w:tcW w:type="dxa" w:w="7429"/>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주식회사 한결팩토리 / Hangyeol Factory Inc. / 김한결</w:t>
            </w:r>
          </w:p>
        </w:tc>
      </w:tr>
      <w:tr>
        <w:trPr>
          <w:cantSplit/>
        </w:trPr>
        <w:tc>
          <w:tcPr>
            <w:tcW w:type="dxa" w:w="2209"/>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설립 및 소재지</w:t>
            </w:r>
          </w:p>
        </w:tc>
        <w:tc>
          <w:tcPr>
            <w:tcW w:type="dxa" w:w="7429"/>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2023년 4월 3일 설립 법인 / 경기도 수원시 / 별도 지사 없음</w:t>
            </w:r>
          </w:p>
        </w:tc>
      </w:tr>
      <w:tr>
        <w:trPr>
          <w:cantSplit/>
        </w:trPr>
        <w:tc>
          <w:tcPr>
            <w:tcW w:type="dxa" w:w="2209"/>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업종과 제품</w:t>
            </w:r>
          </w:p>
        </w:tc>
        <w:tc>
          <w:tcPr>
            <w:tcW w:type="dxa" w:w="7429"/>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응용 소프트웨어 개발 / 제조 품질 분석 SaaS 팩토리뷰</w:t>
            </w:r>
          </w:p>
        </w:tc>
      </w:tr>
      <w:tr>
        <w:trPr>
          <w:cantSplit/>
        </w:trPr>
        <w:tc>
          <w:tcPr>
            <w:tcW w:type="dxa" w:w="2209"/>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인력과 자본금</w:t>
            </w:r>
          </w:p>
        </w:tc>
        <w:tc>
          <w:tcPr>
            <w:tcW w:type="dxa" w:w="7429"/>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상시 근로자 12명 / 자본금 100 / 기준일 2026년 9월 30일</w:t>
            </w:r>
          </w:p>
        </w:tc>
      </w:tr>
      <w:tr>
        <w:trPr>
          <w:cantSplit/>
        </w:trPr>
        <w:tc>
          <w:tcPr>
            <w:tcW w:type="dxa" w:w="2209"/>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식별정보와 연락처</w:t>
            </w:r>
          </w:p>
        </w:tc>
        <w:tc>
          <w:tcPr>
            <w:tcW w:type="dxa" w:w="7429"/>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사업자등록번호, 전화번호, 홈페이지 생략 / 실제 식별정보 미사용</w:t>
            </w:r>
          </w:p>
        </w:tc>
      </w:tr>
      <w:tr>
        <w:trPr>
          <w:cantSplit/>
        </w:trPr>
        <w:tc>
          <w:tcPr>
            <w:tcW w:type="dxa" w:w="2209"/>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인증 및 담당</w:t>
            </w:r>
          </w:p>
        </w:tc>
        <w:tc>
          <w:tcPr>
            <w:tcW w:type="dxa" w:w="7429"/>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기업부설연구소 보유 가정 / 경영지원 담당 이다온</w:t>
            </w:r>
          </w:p>
        </w:tc>
      </w:tr>
    </w:tbl>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주주 구성</w:t>
      </w:r>
    </w:p>
    <w:p>
      <w:pPr>
        <w:keepNext/>
        <w:keepLines/>
        <w:spacing w:after="70" w:before="120" w:line="260"/>
        <w:jc w:val="left"/>
      </w:pPr>
      <w:r>
        <w:rPr>
          <w:rFonts w:ascii="맑은 고딕" w:cs="맑은 고딕" w:eastAsia="맑은 고딕" w:hAnsi="맑은 고딕"/>
          <w:b/>
          <w:bCs/>
          <w:color w:val="2F6BFF"/>
          <w:sz w:val="16"/>
          <w:szCs w:val="16"/>
        </w:rPr>
        <w:t xml:space="preserve">표 01-2  </w:t>
      </w:r>
      <w:r>
        <w:rPr>
          <w:rFonts w:ascii="맑은 고딕" w:cs="맑은 고딕" w:eastAsia="맑은 고딕" w:hAnsi="맑은 고딕"/>
          <w:b/>
          <w:bCs/>
          <w:color w:val="111111"/>
          <w:sz w:val="16"/>
          <w:szCs w:val="16"/>
        </w:rPr>
        <w:t xml:space="preserve">주주 명부 요약</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3012"/>
        <w:gridCol w:w="2610"/>
        <w:gridCol w:w="2008"/>
        <w:gridCol w:w="2008"/>
      </w:tblGrid>
      <w:tr>
        <w:trPr>
          <w:cantSplit/>
          <w:tblHeader/>
        </w:trPr>
        <w:tc>
          <w:tcPr>
            <w:tcW w:type="dxa" w:w="3012"/>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주주</w:t>
            </w:r>
          </w:p>
        </w:tc>
        <w:tc>
          <w:tcPr>
            <w:tcW w:type="dxa" w:w="2610"/>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구분</w:t>
            </w:r>
          </w:p>
        </w:tc>
        <w:tc>
          <w:tcPr>
            <w:tcW w:type="dxa" w:w="2008"/>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주식 수</w:t>
            </w:r>
          </w:p>
        </w:tc>
        <w:tc>
          <w:tcPr>
            <w:tcW w:type="dxa" w:w="2008"/>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지분율</w:t>
            </w:r>
          </w:p>
        </w:tc>
      </w:tr>
      <w:tr>
        <w:trPr>
          <w:cantSplit/>
        </w:trPr>
        <w:tc>
          <w:tcPr>
            <w:tcW w:type="dxa" w:w="3012"/>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김한결</w:t>
            </w:r>
          </w:p>
        </w:tc>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대표</w:t>
            </w:r>
          </w:p>
        </w:tc>
        <w:tc>
          <w:tcPr>
            <w:tcW w:type="dxa" w:w="2008"/>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120,000</w:t>
            </w:r>
          </w:p>
        </w:tc>
        <w:tc>
          <w:tcPr>
            <w:tcW w:type="dxa" w:w="2008"/>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60%</w:t>
            </w:r>
          </w:p>
        </w:tc>
      </w:tr>
      <w:tr>
        <w:trPr>
          <w:cantSplit/>
        </w:trPr>
        <w:tc>
          <w:tcPr>
            <w:tcW w:type="dxa" w:w="3012"/>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박서진</w:t>
            </w:r>
          </w:p>
        </w:tc>
        <w:tc>
          <w:tcPr>
            <w:tcW w:type="dxa" w:w="26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공동창업자</w:t>
            </w:r>
          </w:p>
        </w:tc>
        <w:tc>
          <w:tcPr>
            <w:tcW w:type="dxa" w:w="2008"/>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40,000</w:t>
            </w:r>
          </w:p>
        </w:tc>
        <w:tc>
          <w:tcPr>
            <w:tcW w:type="dxa" w:w="2008"/>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20%</w:t>
            </w:r>
          </w:p>
        </w:tc>
      </w:tr>
      <w:tr>
        <w:trPr>
          <w:cantSplit/>
        </w:trPr>
        <w:tc>
          <w:tcPr>
            <w:tcW w:type="dxa" w:w="3012"/>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가상 시드펀드 A</w:t>
            </w:r>
          </w:p>
        </w:tc>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투자사</w:t>
            </w:r>
          </w:p>
        </w:tc>
        <w:tc>
          <w:tcPr>
            <w:tcW w:type="dxa" w:w="2008"/>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40,000</w:t>
            </w:r>
          </w:p>
        </w:tc>
        <w:tc>
          <w:tcPr>
            <w:tcW w:type="dxa" w:w="2008"/>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20%</w:t>
            </w:r>
          </w:p>
        </w:tc>
      </w:tr>
      <w:tr>
        <w:trPr>
          <w:cantSplit/>
        </w:trPr>
        <w:tc>
          <w:tcPr>
            <w:tcW w:type="dxa" w:w="3012"/>
            <w:shd w:fill="E9EDF4"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합계</w:t>
            </w:r>
          </w:p>
        </w:tc>
        <w:tc>
          <w:tcPr>
            <w:tcW w:type="dxa" w:w="2610"/>
            <w:shd w:fill="E9EDF4"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액면가 500원</w:t>
            </w:r>
          </w:p>
        </w:tc>
        <w:tc>
          <w:tcPr>
            <w:tcW w:type="dxa" w:w="2008"/>
            <w:shd w:fill="E9EDF4"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bCs/>
                <w:color w:val="262A33"/>
                <w:sz w:val="17"/>
                <w:szCs w:val="17"/>
              </w:rPr>
              <w:t xml:space="preserve">200,000</w:t>
            </w:r>
          </w:p>
        </w:tc>
        <w:tc>
          <w:tcPr>
            <w:tcW w:type="dxa" w:w="2008"/>
            <w:shd w:fill="E9EDF4"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bCs/>
                <w:color w:val="262A33"/>
                <w:sz w:val="17"/>
                <w:szCs w:val="17"/>
              </w:rPr>
              <w:t xml:space="preserve">100%</w:t>
            </w:r>
          </w:p>
        </w:tc>
      </w:tr>
    </w:tbl>
    <w:p>
      <w:pPr>
        <w:spacing w:after="160" w:before="0" w:line="120"/>
      </w:pP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핵심 인력과 조직</w:t>
      </w:r>
    </w:p>
    <w:p>
      <w:pPr>
        <w:keepLines/>
        <w:spacing w:after="130" w:before="0" w:line="320"/>
        <w:jc w:val="both"/>
      </w:pPr>
      <w:r>
        <w:rPr>
          <w:rFonts w:ascii="맑은 고딕" w:cs="맑은 고딕" w:eastAsia="맑은 고딕" w:hAnsi="맑은 고딕"/>
          <w:b w:val="false"/>
          <w:bCs w:val="false"/>
          <w:color w:val="262A33"/>
          <w:sz w:val="19"/>
          <w:szCs w:val="19"/>
        </w:rPr>
        <w:t xml:space="preserve">김한결 대표는 산업공학 전공 석사로 제조 현장 개선 업무 8년, 창업 3년의 경험을 가정했다. 박서진 CTO는 데이터 엔지니어링 경력 10년, 최유진 운영 리드는 생산관리 경력 7년으로 설정했다. 대표와 CTO는 설립 시, 운영 리드는 2024년 1월 합류한 것으로 가정한다.</w:t>
      </w:r>
    </w:p>
    <w:p>
      <w:pPr>
        <w:keepNext/>
        <w:keepLines/>
        <w:spacing w:after="70" w:before="120" w:line="260"/>
        <w:jc w:val="left"/>
      </w:pPr>
      <w:r>
        <w:rPr>
          <w:rFonts w:ascii="맑은 고딕" w:cs="맑은 고딕" w:eastAsia="맑은 고딕" w:hAnsi="맑은 고딕"/>
          <w:b/>
          <w:bCs/>
          <w:color w:val="2F6BFF"/>
          <w:sz w:val="16"/>
          <w:szCs w:val="16"/>
        </w:rPr>
        <w:t xml:space="preserve">표 01-3  </w:t>
      </w:r>
      <w:r>
        <w:rPr>
          <w:rFonts w:ascii="맑은 고딕" w:cs="맑은 고딕" w:eastAsia="맑은 고딕" w:hAnsi="맑은 고딕"/>
          <w:b/>
          <w:bCs/>
          <w:color w:val="111111"/>
          <w:sz w:val="16"/>
          <w:szCs w:val="16"/>
        </w:rPr>
        <w:t xml:space="preserve">기능별 인력 현황</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2610"/>
        <w:gridCol w:w="1406"/>
        <w:gridCol w:w="1406"/>
        <w:gridCol w:w="1406"/>
        <w:gridCol w:w="1406"/>
        <w:gridCol w:w="1404"/>
      </w:tblGrid>
      <w:tr>
        <w:trPr>
          <w:cantSplit/>
          <w:tblHeader/>
        </w:trPr>
        <w:tc>
          <w:tcPr>
            <w:tcW w:type="dxa" w:w="2610"/>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구분</w:t>
            </w:r>
          </w:p>
        </w:tc>
        <w:tc>
          <w:tcPr>
            <w:tcW w:type="dxa" w:w="1406"/>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경영지원</w:t>
            </w:r>
          </w:p>
        </w:tc>
        <w:tc>
          <w:tcPr>
            <w:tcW w:type="dxa" w:w="1406"/>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연구개발</w:t>
            </w:r>
          </w:p>
        </w:tc>
        <w:tc>
          <w:tcPr>
            <w:tcW w:type="dxa" w:w="1406"/>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영업</w:t>
            </w:r>
          </w:p>
        </w:tc>
        <w:tc>
          <w:tcPr>
            <w:tcW w:type="dxa" w:w="1406"/>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운영</w:t>
            </w:r>
          </w:p>
        </w:tc>
        <w:tc>
          <w:tcPr>
            <w:tcW w:type="dxa" w:w="1404"/>
            <w:shd w:fill="2F6BFF"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합계</w:t>
            </w:r>
          </w:p>
        </w:tc>
      </w:tr>
      <w:tr>
        <w:trPr>
          <w:cantSplit/>
        </w:trPr>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정규직</w:t>
            </w:r>
          </w:p>
        </w:tc>
        <w:tc>
          <w:tcPr>
            <w:tcW w:type="dxa" w:w="14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w:t>
            </w:r>
          </w:p>
        </w:tc>
        <w:tc>
          <w:tcPr>
            <w:tcW w:type="dxa" w:w="14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6</w:t>
            </w:r>
          </w:p>
        </w:tc>
        <w:tc>
          <w:tcPr>
            <w:tcW w:type="dxa" w:w="14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w:t>
            </w:r>
          </w:p>
        </w:tc>
        <w:tc>
          <w:tcPr>
            <w:tcW w:type="dxa" w:w="14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w:t>
            </w:r>
          </w:p>
        </w:tc>
        <w:tc>
          <w:tcPr>
            <w:tcW w:type="dxa" w:w="1404"/>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12</w:t>
            </w:r>
          </w:p>
        </w:tc>
      </w:tr>
      <w:tr>
        <w:trPr>
          <w:cantSplit/>
        </w:trPr>
        <w:tc>
          <w:tcPr>
            <w:tcW w:type="dxa" w:w="26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계약직과 인턴</w:t>
            </w:r>
          </w:p>
        </w:tc>
        <w:tc>
          <w:tcPr>
            <w:tcW w:type="dxa" w:w="1406"/>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0</w:t>
            </w:r>
          </w:p>
        </w:tc>
        <w:tc>
          <w:tcPr>
            <w:tcW w:type="dxa" w:w="1406"/>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0</w:t>
            </w:r>
          </w:p>
        </w:tc>
        <w:tc>
          <w:tcPr>
            <w:tcW w:type="dxa" w:w="1406"/>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0</w:t>
            </w:r>
          </w:p>
        </w:tc>
        <w:tc>
          <w:tcPr>
            <w:tcW w:type="dxa" w:w="1406"/>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0</w:t>
            </w:r>
          </w:p>
        </w:tc>
        <w:tc>
          <w:tcPr>
            <w:tcW w:type="dxa" w:w="1404"/>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0</w:t>
            </w:r>
          </w:p>
        </w:tc>
      </w:tr>
      <w:tr>
        <w:trPr>
          <w:cantSplit/>
        </w:trPr>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6개월 채용 목표</w:t>
            </w:r>
          </w:p>
        </w:tc>
        <w:tc>
          <w:tcPr>
            <w:tcW w:type="dxa" w:w="14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0</w:t>
            </w:r>
          </w:p>
        </w:tc>
        <w:tc>
          <w:tcPr>
            <w:tcW w:type="dxa" w:w="14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w:t>
            </w:r>
          </w:p>
        </w:tc>
        <w:tc>
          <w:tcPr>
            <w:tcW w:type="dxa" w:w="14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w:t>
            </w:r>
          </w:p>
        </w:tc>
        <w:tc>
          <w:tcPr>
            <w:tcW w:type="dxa" w:w="14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0</w:t>
            </w:r>
          </w:p>
        </w:tc>
        <w:tc>
          <w:tcPr>
            <w:tcW w:type="dxa" w:w="1404"/>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w:t>
            </w:r>
          </w:p>
        </w:tc>
      </w:tr>
    </w:tbl>
    <w:p>
      <w:pPr>
        <w:spacing w:after="160" w:before="0" w:line="120"/>
      </w:pPr>
    </w:p>
    <w:tbl>
      <w:tblPr>
        <w:tblW w:type="dxa" w:w="9638"/>
        <w:tblBorders>
          <w:top w:val="single" w:color="D5DBE5" w:sz="4"/>
          <w:left w:val="none" w:color="FFFFFF" w:sz="0"/>
          <w:bottom w:val="single" w:color="D5DBE5" w:sz="4"/>
          <w:right w:val="none" w:color="FFFFFF" w:sz="0"/>
          <w:insideH w:val="none" w:color="FFFFFF" w:sz="0"/>
          <w:insideV w:val="single" w:color="D5DBE5" w:sz="4"/>
        </w:tblBorders>
      </w:tblPr>
      <w:tblGrid>
        <w:gridCol w:w="4819"/>
        <w:gridCol w:w="4819"/>
      </w:tblGrid>
      <w:tr>
        <w:trPr>
          <w:cantSplit/>
        </w:trPr>
        <w:tc>
          <w:tcPr>
            <w:tcW w:type="dxa" w:w="4819"/>
            <w:tcMar>
              <w:top w:type="dxa" w:w="140"/>
              <w:left w:type="dxa" w:w="110"/>
              <w:bottom w:type="dxa" w:w="120"/>
              <w:right w:type="dxa" w:w="110"/>
            </w:tcMar>
            <w:vAlign w:val="top"/>
          </w:tcPr>
          <w:p>
            <w:pPr>
              <w:spacing w:after="80" w:before="0" w:line="264"/>
              <w:jc w:val="left"/>
            </w:pPr>
            <w:r>
              <w:rPr>
                <w:rFonts w:ascii="맑은 고딕" w:cs="맑은 고딕" w:eastAsia="맑은 고딕" w:hAnsi="맑은 고딕"/>
                <w:b/>
                <w:bCs/>
                <w:color w:val="2F6BFF"/>
                <w:sz w:val="16"/>
                <w:szCs w:val="16"/>
              </w:rPr>
              <w:t xml:space="preserve">그림 01-1  </w:t>
            </w:r>
            <w:r>
              <w:rPr>
                <w:rFonts w:ascii="맑은 고딕" w:cs="맑은 고딕" w:eastAsia="맑은 고딕" w:hAnsi="맑은 고딕"/>
                <w:b/>
                <w:bCs/>
                <w:color w:val="111111"/>
                <w:sz w:val="16"/>
                <w:szCs w:val="16"/>
              </w:rPr>
              <w:t xml:space="preserve">주주 구성</w:t>
            </w:r>
          </w:p>
          <w:p>
            <w:pPr>
              <w:jc w:val="center"/>
            </w:pPr>
            <w:r>
              <w:drawing>
                <wp:inline distT="0" distB="0" distL="0" distR="0">
                  <wp:extent cx="2676525" cy="135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76525" cy="1352550"/>
                          </a:xfrm>
                          <a:prstGeom prst="rect">
                            <a:avLst/>
                          </a:prstGeom>
                        </pic:spPr>
                      </pic:pic>
                    </a:graphicData>
                  </a:graphic>
                </wp:inline>
              </w:drawing>
            </w:r>
          </w:p>
        </w:tc>
        <w:tc>
          <w:tcPr>
            <w:tcW w:type="dxa" w:w="4819"/>
            <w:tcMar>
              <w:top w:type="dxa" w:w="140"/>
              <w:left w:type="dxa" w:w="110"/>
              <w:bottom w:type="dxa" w:w="120"/>
              <w:right w:type="dxa" w:w="110"/>
            </w:tcMar>
            <w:vAlign w:val="top"/>
          </w:tcPr>
          <w:p>
            <w:pPr>
              <w:spacing w:after="80" w:before="0" w:line="264"/>
              <w:jc w:val="left"/>
            </w:pPr>
            <w:r>
              <w:rPr>
                <w:rFonts w:ascii="맑은 고딕" w:cs="맑은 고딕" w:eastAsia="맑은 고딕" w:hAnsi="맑은 고딕"/>
                <w:b/>
                <w:bCs/>
                <w:color w:val="2F6BFF"/>
                <w:sz w:val="16"/>
                <w:szCs w:val="16"/>
              </w:rPr>
              <w:t xml:space="preserve">그림 01-2  </w:t>
            </w:r>
            <w:r>
              <w:rPr>
                <w:rFonts w:ascii="맑은 고딕" w:cs="맑은 고딕" w:eastAsia="맑은 고딕" w:hAnsi="맑은 고딕"/>
                <w:b/>
                <w:bCs/>
                <w:color w:val="111111"/>
                <w:sz w:val="16"/>
                <w:szCs w:val="16"/>
              </w:rPr>
              <w:t xml:space="preserve">기능별 인력과 채용 목표</w:t>
            </w:r>
          </w:p>
          <w:p>
            <w:pPr>
              <w:jc w:val="center"/>
            </w:pPr>
            <w:r>
              <w:drawing>
                <wp:inline distT="0" distB="0" distL="0" distR="0">
                  <wp:extent cx="2676525" cy="19240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76525" cy="1924050"/>
                          </a:xfrm>
                          <a:prstGeom prst="rect">
                            <a:avLst/>
                          </a:prstGeom>
                        </pic:spPr>
                      </pic:pic>
                    </a:graphicData>
                  </a:graphic>
                </wp:inline>
              </w:drawing>
            </w:r>
          </w:p>
        </w:tc>
      </w:tr>
    </w:tbl>
    <w:p>
      <w:pPr>
        <w:keepLines/>
        <w:spacing w:after="180" w:before="50" w:line="240"/>
        <w:jc w:val="left"/>
      </w:pPr>
      <w:r>
        <w:rPr>
          <w:rFonts w:ascii="맑은 고딕" w:cs="맑은 고딕" w:eastAsia="맑은 고딕" w:hAnsi="맑은 고딕"/>
          <w:color w:val="9AA3AF"/>
          <w:sz w:val="14"/>
          <w:szCs w:val="14"/>
        </w:rPr>
        <w:t xml:space="preserve">자료: 한결팩토리 제출 자료(가상), ㈜포항연합기술지주 분석</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조직 진단과 보완 방향</w:t>
      </w:r>
    </w:p>
    <w:p>
      <w:pPr>
        <w:keepLines/>
        <w:spacing w:after="130" w:before="0" w:line="320"/>
        <w:jc w:val="both"/>
      </w:pPr>
      <w:r>
        <w:rPr>
          <w:rFonts w:ascii="맑은 고딕" w:cs="맑은 고딕" w:eastAsia="맑은 고딕" w:hAnsi="맑은 고딕"/>
          <w:b w:val="false"/>
          <w:bCs w:val="false"/>
          <w:color w:val="262A33"/>
          <w:sz w:val="19"/>
          <w:szCs w:val="19"/>
        </w:rPr>
        <w:t xml:space="preserve">기술과 현장 이해도는 확보했지만, </w:t>
      </w:r>
      <w:r>
        <w:rPr>
          <w:rFonts w:ascii="맑은 고딕" w:cs="맑은 고딕" w:eastAsia="맑은 고딕" w:hAnsi="맑은 고딕"/>
          <w:b/>
          <w:bCs/>
          <w:color w:val="111111"/>
          <w:sz w:val="19"/>
          <w:szCs w:val="19"/>
        </w:rPr>
        <w:t xml:space="preserve">고객 확보와 계약 판단이 대표에게 집중</w:t>
      </w:r>
      <w:r>
        <w:rPr>
          <w:rFonts w:ascii="맑은 고딕" w:cs="맑은 고딕" w:eastAsia="맑은 고딕" w:hAnsi="맑은 고딕"/>
          <w:b w:val="false"/>
          <w:bCs w:val="false"/>
          <w:color w:val="262A33"/>
          <w:sz w:val="19"/>
          <w:szCs w:val="19"/>
        </w:rPr>
        <w:t xml:space="preserve">되어 있다. 영업 전담자 1명을 먼저 확보하고 고객별 제안서, 가격 승인, 계약 진행 단계를 문서화한다. 연구개발 1명은 유료 고객 24개사 달성과 잔여 운영기간 6개월 이상을 동시에 충족한 뒤 채용한다.</w:t>
      </w:r>
    </w:p>
    <w:p>
      <w:pPr>
        <w:keepLines/>
        <w:spacing w:after="130" w:before="0" w:line="320"/>
        <w:jc w:val="both"/>
      </w:pPr>
      <w:r>
        <w:rPr>
          <w:rFonts w:ascii="맑은 고딕" w:cs="맑은 고딕" w:eastAsia="맑은 고딕" w:hAnsi="맑은 고딕"/>
          <w:b w:val="false"/>
          <w:bCs w:val="false"/>
          <w:color w:val="262A33"/>
          <w:sz w:val="19"/>
          <w:szCs w:val="19"/>
        </w:rPr>
        <w:t xml:space="preserve">외부 네트워크는 가상 제조혁신센터의 실증 자문과 외부 회계 담당자의 월 결산 지원을 가정한다. 협력기관에 고객 확보 실적까지 부여하지 않으며, 향후 추천 고객의 계약 전환율로 효과를 측정한다.</w:t>
      </w:r>
    </w:p>
    <w:p>
      <w:pPr>
        <w:keepNext/>
        <w:keepLines/>
        <w:spacing w:after="40" w:before="520" w:line="320"/>
        <w:jc w:val="left"/>
      </w:pPr>
      <w:r>
        <w:rPr>
          <w:rFonts w:ascii="맑은 고딕" w:cs="맑은 고딕" w:eastAsia="맑은 고딕" w:hAnsi="맑은 고딕"/>
          <w:b/>
          <w:bCs/>
          <w:color w:val="2F6BFF"/>
          <w:spacing w:val="60"/>
          <w:sz w:val="15"/>
          <w:szCs w:val="15"/>
        </w:rPr>
        <w:t xml:space="preserve">FINANCIAL REVIEW</w:t>
      </w:r>
    </w:p>
    <w:p>
      <w:pPr>
        <w:pStyle w:val="Heading1"/>
        <w:keepNext/>
        <w:pBdr>
          <w:bottom w:val="single" w:color="111111" w:sz="14"/>
        </w:pBdr>
        <w:spacing w:after="260" w:before="0" w:line="300"/>
      </w:pPr>
      <w:r>
        <w:rPr>
          <w:rFonts w:ascii="맑은 고딕" w:cs="맑은 고딕" w:eastAsia="맑은 고딕" w:hAnsi="맑은 고딕"/>
          <w:b/>
          <w:bCs/>
          <w:color w:val="2F6BFF"/>
          <w:sz w:val="40"/>
          <w:szCs w:val="40"/>
        </w:rPr>
        <w:t xml:space="preserve">02  </w:t>
      </w:r>
      <w:r>
        <w:rPr>
          <w:rFonts w:ascii="맑은 고딕" w:cs="맑은 고딕" w:eastAsia="맑은 고딕" w:hAnsi="맑은 고딕"/>
          <w:b/>
          <w:bCs/>
          <w:color w:val="111111"/>
          <w:sz w:val="34"/>
          <w:szCs w:val="34"/>
        </w:rPr>
        <w:t xml:space="preserve">재무 성과와 현금흐름 진단</w:t>
      </w:r>
    </w:p>
    <w:p>
      <w:pPr>
        <w:keepLines/>
        <w:spacing w:after="130" w:before="0" w:line="320"/>
        <w:jc w:val="both"/>
      </w:pPr>
      <w:r>
        <w:rPr>
          <w:rFonts w:ascii="맑은 고딕" w:cs="맑은 고딕" w:eastAsia="맑은 고딕" w:hAnsi="맑은 고딕"/>
          <w:b w:val="false"/>
          <w:bCs w:val="false"/>
          <w:color w:val="262A33"/>
          <w:sz w:val="19"/>
          <w:szCs w:val="19"/>
        </w:rPr>
        <w:t xml:space="preserve">2024년과 2025년은 가상 연간 실적, 2026년 9월은 누적 실적이다. 손익은 기간 합계, 자산, 부채, 현금은 각 기간 말 잔액이다. 연말 예상은 투자금 유입을 제외한 기본 시나리오다.</w:t>
      </w:r>
    </w:p>
    <w:p>
      <w:pPr>
        <w:keepNext/>
        <w:keepLines/>
        <w:spacing w:after="70" w:before="120" w:line="260"/>
        <w:jc w:val="left"/>
      </w:pPr>
      <w:r>
        <w:rPr>
          <w:rFonts w:ascii="맑은 고딕" w:cs="맑은 고딕" w:eastAsia="맑은 고딕" w:hAnsi="맑은 고딕"/>
          <w:b/>
          <w:bCs/>
          <w:color w:val="2F6BFF"/>
          <w:sz w:val="16"/>
          <w:szCs w:val="16"/>
        </w:rPr>
        <w:t xml:space="preserve">표 02-1  </w:t>
      </w:r>
      <w:r>
        <w:rPr>
          <w:rFonts w:ascii="맑은 고딕" w:cs="맑은 고딕" w:eastAsia="맑은 고딕" w:hAnsi="맑은 고딕"/>
          <w:b/>
          <w:bCs/>
          <w:color w:val="111111"/>
          <w:sz w:val="16"/>
          <w:szCs w:val="16"/>
        </w:rPr>
        <w:t xml:space="preserve">요약 재무제표</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3213"/>
        <w:gridCol w:w="1606"/>
        <w:gridCol w:w="1606"/>
        <w:gridCol w:w="1606"/>
        <w:gridCol w:w="1607"/>
      </w:tblGrid>
      <w:tr>
        <w:trPr>
          <w:cantSplit/>
          <w:tblHeader/>
        </w:trPr>
        <w:tc>
          <w:tcPr>
            <w:tcW w:type="dxa" w:w="3213"/>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구분</w:t>
            </w:r>
          </w:p>
        </w:tc>
        <w:tc>
          <w:tcPr>
            <w:tcW w:type="dxa" w:w="1606"/>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2024년</w:t>
            </w:r>
          </w:p>
        </w:tc>
        <w:tc>
          <w:tcPr>
            <w:tcW w:type="dxa" w:w="1606"/>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2025년</w:t>
            </w:r>
          </w:p>
        </w:tc>
        <w:tc>
          <w:tcPr>
            <w:tcW w:type="dxa" w:w="1606"/>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2026년 9월</w:t>
            </w:r>
          </w:p>
        </w:tc>
        <w:tc>
          <w:tcPr>
            <w:tcW w:type="dxa" w:w="1607"/>
            <w:shd w:fill="2F6BFF"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2026년 예상</w:t>
            </w:r>
          </w:p>
        </w:tc>
      </w:tr>
      <w:tr>
        <w:trPr>
          <w:cantSplit/>
        </w:trPr>
        <w:tc>
          <w:tcPr>
            <w:tcW w:type="dxa" w:w="9638"/>
            <w:gridSpan w:val="5"/>
            <w:shd w:fill="E9EDF4" w:color="auto" w:val="clear"/>
            <w:tcMar>
              <w:top w:type="dxa" w:w="55"/>
              <w:left w:type="dxa" w:w="110"/>
              <w:bottom w:type="dxa" w:w="55"/>
              <w:right w:type="dxa" w:w="110"/>
            </w:tcMar>
            <w:vAlign w:val="center"/>
          </w:tcPr>
          <w:p>
            <w:pPr>
              <w:spacing w:after="0" w:before="0" w:line="264"/>
              <w:jc w:val="left"/>
            </w:pPr>
            <w:r>
              <w:rPr>
                <w:rFonts w:ascii="맑은 고딕" w:cs="맑은 고딕" w:eastAsia="맑은 고딕" w:hAnsi="맑은 고딕"/>
                <w:b/>
                <w:bCs/>
                <w:color w:val="0B1F4B"/>
                <w:sz w:val="16"/>
                <w:szCs w:val="16"/>
              </w:rPr>
              <w:t xml:space="preserve">손익 (기간 합계)</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매출액</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200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420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630</w:t>
            </w:r>
          </w:p>
        </w:tc>
        <w:tc>
          <w:tcPr>
            <w:tcW w:type="dxa" w:w="1607"/>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900</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공헌이익</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100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210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315</w:t>
            </w:r>
          </w:p>
        </w:tc>
        <w:tc>
          <w:tcPr>
            <w:tcW w:type="dxa" w:w="1607"/>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450</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영업이익</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-80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-150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-120</w:t>
            </w:r>
          </w:p>
        </w:tc>
        <w:tc>
          <w:tcPr>
            <w:tcW w:type="dxa" w:w="1607"/>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-160</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당기순이익</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-80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-150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-120</w:t>
            </w:r>
          </w:p>
        </w:tc>
        <w:tc>
          <w:tcPr>
            <w:tcW w:type="dxa" w:w="1607"/>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-160</w:t>
            </w:r>
          </w:p>
        </w:tc>
      </w:tr>
      <w:tr>
        <w:trPr>
          <w:cantSplit/>
        </w:trPr>
        <w:tc>
          <w:tcPr>
            <w:tcW w:type="dxa" w:w="9638"/>
            <w:gridSpan w:val="5"/>
            <w:shd w:fill="E9EDF4" w:color="auto" w:val="clear"/>
            <w:tcMar>
              <w:top w:type="dxa" w:w="55"/>
              <w:left w:type="dxa" w:w="110"/>
              <w:bottom w:type="dxa" w:w="55"/>
              <w:right w:type="dxa" w:w="110"/>
            </w:tcMar>
            <w:vAlign w:val="center"/>
          </w:tcPr>
          <w:p>
            <w:pPr>
              <w:spacing w:after="0" w:before="0" w:line="264"/>
              <w:jc w:val="left"/>
            </w:pPr>
            <w:r>
              <w:rPr>
                <w:rFonts w:ascii="맑은 고딕" w:cs="맑은 고딕" w:eastAsia="맑은 고딕" w:hAnsi="맑은 고딕"/>
                <w:b/>
                <w:bCs/>
                <w:color w:val="0B1F4B"/>
                <w:sz w:val="16"/>
                <w:szCs w:val="16"/>
              </w:rPr>
              <w:t xml:space="preserve">재무상태 (기간 말 잔액)</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자산총계</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430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900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850</w:t>
            </w:r>
          </w:p>
        </w:tc>
        <w:tc>
          <w:tcPr>
            <w:tcW w:type="dxa" w:w="1607"/>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830</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부채총계</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230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350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420</w:t>
            </w:r>
          </w:p>
        </w:tc>
        <w:tc>
          <w:tcPr>
            <w:tcW w:type="dxa" w:w="1607"/>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440</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자본총계</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200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550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430</w:t>
            </w:r>
          </w:p>
        </w:tc>
        <w:tc>
          <w:tcPr>
            <w:tcW w:type="dxa" w:w="1607"/>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390</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유동부채</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130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200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240</w:t>
            </w:r>
          </w:p>
        </w:tc>
        <w:tc>
          <w:tcPr>
            <w:tcW w:type="dxa" w:w="1607"/>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260</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장기차입금 / 단기차입금</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100 / 60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150 / 100</w:t>
            </w:r>
          </w:p>
        </w:tc>
        <w:tc>
          <w:tcPr>
            <w:tcW w:type="dxa" w:w="1606"/>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180 / 120</w:t>
            </w:r>
          </w:p>
        </w:tc>
        <w:tc>
          <w:tcPr>
            <w:tcW w:type="dxa" w:w="1607"/>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180 / 140</w:t>
            </w:r>
          </w:p>
        </w:tc>
      </w:tr>
      <w:tr>
        <w:trPr>
          <w:cantSplit/>
        </w:trPr>
        <w:tc>
          <w:tcPr>
            <w:tcW w:type="dxa" w:w="3213"/>
            <w:shd w:fill="E9EDF4"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현금 및 현금성자산</w:t>
            </w:r>
          </w:p>
        </w:tc>
        <w:tc>
          <w:tcPr>
            <w:tcW w:type="dxa" w:w="1606"/>
            <w:shd w:fill="E9EDF4"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bCs/>
                <w:color w:val="262A33"/>
                <w:sz w:val="17"/>
                <w:szCs w:val="17"/>
              </w:rPr>
              <w:t xml:space="preserve">180</w:t>
            </w:r>
          </w:p>
        </w:tc>
        <w:tc>
          <w:tcPr>
            <w:tcW w:type="dxa" w:w="1606"/>
            <w:shd w:fill="E9EDF4"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bCs/>
                <w:color w:val="262A33"/>
                <w:sz w:val="17"/>
                <w:szCs w:val="17"/>
              </w:rPr>
              <w:t xml:space="preserve">420</w:t>
            </w:r>
          </w:p>
        </w:tc>
        <w:tc>
          <w:tcPr>
            <w:tcW w:type="dxa" w:w="1606"/>
            <w:shd w:fill="E9EDF4"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bCs/>
                <w:color w:val="262A33"/>
                <w:sz w:val="17"/>
                <w:szCs w:val="17"/>
              </w:rPr>
              <w:t xml:space="preserve">280</w:t>
            </w:r>
          </w:p>
        </w:tc>
        <w:tc>
          <w:tcPr>
            <w:tcW w:type="dxa" w:w="1607"/>
            <w:shd w:fill="E9EDF4"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bCs/>
                <w:color w:val="262A33"/>
                <w:sz w:val="17"/>
                <w:szCs w:val="17"/>
              </w:rPr>
              <w:t xml:space="preserve">240</w:t>
            </w:r>
          </w:p>
        </w:tc>
      </w:tr>
    </w:tbl>
    <w:p>
      <w:pPr>
        <w:keepLines/>
        <w:spacing w:after="180" w:before="50" w:line="240"/>
        <w:jc w:val="left"/>
      </w:pPr>
      <w:r>
        <w:rPr>
          <w:rFonts w:ascii="맑은 고딕" w:cs="맑은 고딕" w:eastAsia="맑은 고딕" w:hAnsi="맑은 고딕"/>
          <w:color w:val="9AA3AF"/>
          <w:sz w:val="14"/>
          <w:szCs w:val="14"/>
        </w:rPr>
        <w:t xml:space="preserve">주: 2026년 예상은 투자금 유입을 제외한 기본 시나리오. 단위 백만원</w:t>
      </w:r>
    </w:p>
    <w:p>
      <w:pPr>
        <w:keepNext/>
        <w:keepLines/>
        <w:spacing w:after="70" w:before="120" w:line="260"/>
        <w:jc w:val="left"/>
      </w:pPr>
      <w:r>
        <w:rPr>
          <w:rFonts w:ascii="맑은 고딕" w:cs="맑은 고딕" w:eastAsia="맑은 고딕" w:hAnsi="맑은 고딕"/>
          <w:b/>
          <w:bCs/>
          <w:color w:val="2F6BFF"/>
          <w:sz w:val="16"/>
          <w:szCs w:val="16"/>
        </w:rPr>
        <w:t xml:space="preserve">그림 02-1  </w:t>
      </w:r>
      <w:r>
        <w:rPr>
          <w:rFonts w:ascii="맑은 고딕" w:cs="맑은 고딕" w:eastAsia="맑은 고딕" w:hAnsi="맑은 고딕"/>
          <w:b/>
          <w:bCs/>
          <w:color w:val="111111"/>
          <w:sz w:val="16"/>
          <w:szCs w:val="16"/>
        </w:rPr>
        <w:t xml:space="preserve">매출, 공헌이익, 영업이익 추이</w:t>
      </w:r>
    </w:p>
    <w:p>
      <w:pPr>
        <w:keepNext/>
        <w:spacing w:after="0" w:before="60"/>
        <w:jc w:val="center"/>
      </w:pPr>
      <w:r>
        <w:drawing>
          <wp:inline distT="0" distB="0" distL="0" distR="0">
            <wp:extent cx="6124575" cy="25717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24575" cy="2571750"/>
                    </a:xfrm>
                    <a:prstGeom prst="rect">
                      <a:avLst/>
                    </a:prstGeom>
                  </pic:spPr>
                </pic:pic>
              </a:graphicData>
            </a:graphic>
          </wp:inline>
        </w:drawing>
      </w:r>
    </w:p>
    <w:p>
      <w:pPr>
        <w:keepLines/>
        <w:spacing w:after="180" w:before="50" w:line="240"/>
        <w:jc w:val="left"/>
      </w:pPr>
      <w:r>
        <w:rPr>
          <w:rFonts w:ascii="맑은 고딕" w:cs="맑은 고딕" w:eastAsia="맑은 고딕" w:hAnsi="맑은 고딕"/>
          <w:color w:val="9AA3AF"/>
          <w:sz w:val="14"/>
          <w:szCs w:val="14"/>
        </w:rPr>
        <w:t xml:space="preserve">자료: 한결팩토리 제출 자료(가상), ㈜포항연합기술지주 분석</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성장은 확인되지만 손익분기에는 미달</w:t>
      </w:r>
    </w:p>
    <w:p>
      <w:pPr>
        <w:keepLines/>
        <w:spacing w:after="130" w:before="0" w:line="320"/>
        <w:jc w:val="both"/>
      </w:pPr>
      <w:r>
        <w:rPr>
          <w:rFonts w:ascii="맑은 고딕" w:cs="맑은 고딕" w:eastAsia="맑은 고딕" w:hAnsi="맑은 고딕"/>
          <w:b w:val="false"/>
          <w:bCs w:val="false"/>
          <w:color w:val="262A33"/>
          <w:sz w:val="19"/>
          <w:szCs w:val="19"/>
        </w:rPr>
        <w:t xml:space="preserve">2025년 매출은 전년 대비 </w:t>
      </w:r>
      <w:r>
        <w:rPr>
          <w:rFonts w:ascii="맑은 고딕" w:cs="맑은 고딕" w:eastAsia="맑은 고딕" w:hAnsi="맑은 고딕"/>
          <w:b/>
          <w:bCs/>
          <w:color w:val="111111"/>
          <w:sz w:val="19"/>
          <w:szCs w:val="19"/>
        </w:rPr>
        <w:t xml:space="preserve">110.0% 증가</w:t>
      </w:r>
      <w:r>
        <w:rPr>
          <w:rFonts w:ascii="맑은 고딕" w:cs="맑은 고딕" w:eastAsia="맑은 고딕" w:hAnsi="맑은 고딕"/>
          <w:b w:val="false"/>
          <w:bCs w:val="false"/>
          <w:color w:val="262A33"/>
          <w:sz w:val="19"/>
          <w:szCs w:val="19"/>
        </w:rPr>
        <w:t xml:space="preserve">했다. 2026년 9개월 누적 매출 630은 전년 연간 매출을 넘어섰지만, 기간이 달라 전년 동기 성장률로 해석할 수 없다. 연말 매출 900을 달성하려면 4분기 매출 270이 필요하다.</w:t>
      </w:r>
    </w:p>
    <w:p>
      <w:pPr>
        <w:keepLines/>
        <w:spacing w:after="130" w:before="0" w:line="320"/>
        <w:jc w:val="both"/>
      </w:pPr>
      <w:r>
        <w:rPr>
          <w:rFonts w:ascii="맑은 고딕" w:cs="맑은 고딕" w:eastAsia="맑은 고딕" w:hAnsi="맑은 고딕"/>
          <w:b w:val="false"/>
          <w:bCs w:val="false"/>
          <w:color w:val="262A33"/>
          <w:sz w:val="19"/>
          <w:szCs w:val="19"/>
        </w:rPr>
        <w:t xml:space="preserve">9월 누적 공헌이익률은 315 ÷ 630 = 50.0%, 영업이익률은 -120 ÷ 630 = -19.0%다. 공헌이익은 매출에서 고객별 구축 외주비, 직접 클라우드비, 판매수수료 등 변동비를 차감한 금액으로 정의했다. 고정성 영업비용 435를 9개월로 나눈 월 48.3을 기준으로, 단순 손익분기 매출은 </w:t>
      </w:r>
      <w:r>
        <w:rPr>
          <w:rFonts w:ascii="맑은 고딕" w:cs="맑은 고딕" w:eastAsia="맑은 고딕" w:hAnsi="맑은 고딕"/>
          <w:b/>
          <w:bCs/>
          <w:color w:val="111111"/>
          <w:sz w:val="19"/>
          <w:szCs w:val="19"/>
        </w:rPr>
        <w:t xml:space="preserve">월 96.7</w:t>
      </w:r>
      <w:r>
        <w:rPr>
          <w:rFonts w:ascii="맑은 고딕" w:cs="맑은 고딕" w:eastAsia="맑은 고딕" w:hAnsi="맑은 고딕"/>
          <w:b w:val="false"/>
          <w:bCs w:val="false"/>
          <w:color w:val="262A33"/>
          <w:sz w:val="19"/>
          <w:szCs w:val="19"/>
        </w:rPr>
        <w:t xml:space="preserve">이다. 최근 누적 월평균 매출 70.0보다 38.1% 높다.</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현금 잔액보다 유출 속도를 먼저 관리</w:t>
      </w:r>
    </w:p>
    <w:p>
      <w:pPr>
        <w:keepLines/>
        <w:spacing w:after="130" w:before="0" w:line="320"/>
        <w:jc w:val="both"/>
      </w:pPr>
      <w:r>
        <w:rPr>
          <w:rFonts w:ascii="맑은 고딕" w:cs="맑은 고딕" w:eastAsia="맑은 고딕" w:hAnsi="맑은 고딕"/>
          <w:b w:val="false"/>
          <w:bCs w:val="false"/>
          <w:color w:val="262A33"/>
          <w:sz w:val="19"/>
          <w:szCs w:val="19"/>
        </w:rPr>
        <w:t xml:space="preserve">최근 3개월 평균 순현금유출을 월 35로 가정하면 현금 280으로 </w:t>
      </w:r>
      <w:r>
        <w:rPr>
          <w:rFonts w:ascii="맑은 고딕" w:cs="맑은 고딕" w:eastAsia="맑은 고딕" w:hAnsi="맑은 고딕"/>
          <w:b/>
          <w:bCs/>
          <w:color w:val="111111"/>
          <w:sz w:val="19"/>
          <w:szCs w:val="19"/>
        </w:rPr>
        <w:t xml:space="preserve">약 8개월</w:t>
      </w:r>
      <w:r>
        <w:rPr>
          <w:rFonts w:ascii="맑은 고딕" w:cs="맑은 고딕" w:eastAsia="맑은 고딕" w:hAnsi="맑은 고딕"/>
          <w:b w:val="false"/>
          <w:bCs w:val="false"/>
          <w:color w:val="262A33"/>
          <w:sz w:val="19"/>
          <w:szCs w:val="19"/>
        </w:rPr>
        <w:t xml:space="preserve"> 운영할 수 있다. 향후 단기차입금 120을 추가로 전액 상환하고 다른 조건이 같다면 약 4.6개월로 줄어든다. 이는 미래 상환을 기존 유출에 추가한 민감도 분석이며 상환 일정이 확정된 예측은 아니다.</w:t>
      </w:r>
    </w:p>
    <w:tbl>
      <w:tblPr>
        <w:tblW w:type="dxa" w:w="9638"/>
        <w:tblBorders>
          <w:top w:val="single" w:color="D5DBE5" w:sz="4"/>
          <w:left w:val="none" w:color="FFFFFF" w:sz="0"/>
          <w:bottom w:val="single" w:color="D5DBE5" w:sz="4"/>
          <w:right w:val="none" w:color="FFFFFF" w:sz="0"/>
          <w:insideH w:val="none" w:color="FFFFFF" w:sz="0"/>
          <w:insideV w:val="single" w:color="D5DBE5" w:sz="4"/>
        </w:tblBorders>
      </w:tblPr>
      <w:tblGrid>
        <w:gridCol w:w="4819"/>
        <w:gridCol w:w="4819"/>
      </w:tblGrid>
      <w:tr>
        <w:trPr>
          <w:cantSplit/>
        </w:trPr>
        <w:tc>
          <w:tcPr>
            <w:tcW w:type="dxa" w:w="4819"/>
            <w:tcMar>
              <w:top w:type="dxa" w:w="140"/>
              <w:left w:type="dxa" w:w="110"/>
              <w:bottom w:type="dxa" w:w="120"/>
              <w:right w:type="dxa" w:w="110"/>
            </w:tcMar>
            <w:vAlign w:val="top"/>
          </w:tcPr>
          <w:p>
            <w:pPr>
              <w:spacing w:after="80" w:before="0" w:line="264"/>
              <w:jc w:val="left"/>
            </w:pPr>
            <w:r>
              <w:rPr>
                <w:rFonts w:ascii="맑은 고딕" w:cs="맑은 고딕" w:eastAsia="맑은 고딕" w:hAnsi="맑은 고딕"/>
                <w:b/>
                <w:bCs/>
                <w:color w:val="2F6BFF"/>
                <w:sz w:val="16"/>
                <w:szCs w:val="16"/>
              </w:rPr>
              <w:t xml:space="preserve">그림 02-2  </w:t>
            </w:r>
            <w:r>
              <w:rPr>
                <w:rFonts w:ascii="맑은 고딕" w:cs="맑은 고딕" w:eastAsia="맑은 고딕" w:hAnsi="맑은 고딕"/>
                <w:b/>
                <w:bCs/>
                <w:color w:val="111111"/>
                <w:sz w:val="16"/>
                <w:szCs w:val="16"/>
              </w:rPr>
              <w:t xml:space="preserve">손익분기 매출과 현재 매출의 격차</w:t>
            </w:r>
          </w:p>
          <w:p>
            <w:pPr>
              <w:jc w:val="center"/>
            </w:pPr>
            <w:r>
              <w:drawing>
                <wp:inline distT="0" distB="0" distL="0" distR="0">
                  <wp:extent cx="2676525" cy="19812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76525" cy="1981200"/>
                          </a:xfrm>
                          <a:prstGeom prst="rect">
                            <a:avLst/>
                          </a:prstGeom>
                        </pic:spPr>
                      </pic:pic>
                    </a:graphicData>
                  </a:graphic>
                </wp:inline>
              </w:drawing>
            </w:r>
          </w:p>
        </w:tc>
        <w:tc>
          <w:tcPr>
            <w:tcW w:type="dxa" w:w="4819"/>
            <w:tcMar>
              <w:top w:type="dxa" w:w="140"/>
              <w:left w:type="dxa" w:w="110"/>
              <w:bottom w:type="dxa" w:w="120"/>
              <w:right w:type="dxa" w:w="110"/>
            </w:tcMar>
            <w:vAlign w:val="top"/>
          </w:tcPr>
          <w:p>
            <w:pPr>
              <w:spacing w:after="80" w:before="0" w:line="264"/>
              <w:jc w:val="left"/>
            </w:pPr>
            <w:r>
              <w:rPr>
                <w:rFonts w:ascii="맑은 고딕" w:cs="맑은 고딕" w:eastAsia="맑은 고딕" w:hAnsi="맑은 고딕"/>
                <w:b/>
                <w:bCs/>
                <w:color w:val="2F6BFF"/>
                <w:sz w:val="16"/>
                <w:szCs w:val="16"/>
              </w:rPr>
              <w:t xml:space="preserve">그림 02-3  </w:t>
            </w:r>
            <w:r>
              <w:rPr>
                <w:rFonts w:ascii="맑은 고딕" w:cs="맑은 고딕" w:eastAsia="맑은 고딕" w:hAnsi="맑은 고딕"/>
                <w:b/>
                <w:bCs/>
                <w:color w:val="111111"/>
                <w:sz w:val="16"/>
                <w:szCs w:val="16"/>
              </w:rPr>
              <w:t xml:space="preserve">현금 운영 가능 기간 민감도</w:t>
            </w:r>
          </w:p>
          <w:p>
            <w:pPr>
              <w:jc w:val="center"/>
            </w:pPr>
            <w:r>
              <w:drawing>
                <wp:inline distT="0" distB="0" distL="0" distR="0">
                  <wp:extent cx="2676525" cy="16002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676525" cy="1600200"/>
                          </a:xfrm>
                          <a:prstGeom prst="rect">
                            <a:avLst/>
                          </a:prstGeom>
                        </pic:spPr>
                      </pic:pic>
                    </a:graphicData>
                  </a:graphic>
                </wp:inline>
              </w:drawing>
            </w:r>
          </w:p>
        </w:tc>
      </w:tr>
    </w:tbl>
    <w:p>
      <w:pPr>
        <w:keepLines/>
        <w:spacing w:after="180" w:before="50" w:line="240"/>
        <w:jc w:val="left"/>
      </w:pPr>
      <w:r>
        <w:rPr>
          <w:rFonts w:ascii="맑은 고딕" w:cs="맑은 고딕" w:eastAsia="맑은 고딕" w:hAnsi="맑은 고딕"/>
          <w:color w:val="9AA3AF"/>
          <w:sz w:val="14"/>
          <w:szCs w:val="14"/>
        </w:rPr>
        <w:t xml:space="preserve">자료: 한결팩토리 제출 자료(가상), ㈜포항연합기술지주 분석</w:t>
      </w:r>
    </w:p>
    <w:p>
      <w:pPr>
        <w:keepLines/>
        <w:spacing w:after="130" w:before="0" w:line="320"/>
        <w:jc w:val="both"/>
      </w:pPr>
      <w:r>
        <w:rPr>
          <w:rFonts w:ascii="맑은 고딕" w:cs="맑은 고딕" w:eastAsia="맑은 고딕" w:hAnsi="맑은 고딕"/>
          <w:b w:val="false"/>
          <w:bCs w:val="false"/>
          <w:color w:val="262A33"/>
          <w:sz w:val="19"/>
          <w:szCs w:val="19"/>
        </w:rPr>
        <w:t xml:space="preserve">월 1회 손익 마감과 매주 13주 현금계획을 병행한다. 구축 계약은 착수금 50%를 목표로 협의하고, 잔금 회수 지연과 고객별 투입시간을 함께 점검한다. 회계상 이익과 현금 유입의 시점은 구분한다.</w:t>
      </w:r>
    </w:p>
    <w:tbl>
      <w:tblPr>
        <w:tblW w:type="dxa" w:w="9638"/>
        <w:tblBorders>
          <w:top w:val="none" w:color="FFFFFF" w:sz="0"/>
          <w:left w:val="single" w:color="111111" w:sz="30"/>
          <w:bottom w:val="none" w:color="FFFFFF" w:sz="0"/>
          <w:right w:val="none" w:color="FFFFFF" w:sz="0"/>
          <w:insideH w:val="none" w:color="FFFFFF" w:sz="0"/>
          <w:insideV w:val="none" w:color="FFFFFF" w:sz="0"/>
        </w:tblBorders>
      </w:tblPr>
      <w:tblGrid>
        <w:gridCol w:w="9638"/>
      </w:tblGrid>
      <w:tr>
        <w:trPr>
          <w:cantSplit/>
        </w:trPr>
        <w:tc>
          <w:tcPr>
            <w:tcW w:type="dxa" w:w="9638"/>
            <w:shd w:fill="F3F6FB" w:color="auto" w:val="clear"/>
            <w:tcMar>
              <w:top w:type="dxa" w:w="150"/>
              <w:left w:type="dxa" w:w="240"/>
              <w:bottom w:type="dxa" w:w="150"/>
              <w:right w:type="dxa" w:w="200"/>
            </w:tcMar>
            <w:vAlign w:val="center"/>
          </w:tcPr>
          <w:p>
            <w:pPr>
              <w:spacing w:after="50" w:before="0" w:line="264"/>
              <w:jc w:val="left"/>
            </w:pPr>
            <w:r>
              <w:rPr>
                <w:rFonts w:ascii="맑은 고딕" w:cs="맑은 고딕" w:eastAsia="맑은 고딕" w:hAnsi="맑은 고딕"/>
                <w:b/>
                <w:bCs/>
                <w:color w:val="111111"/>
                <w:spacing w:val="20"/>
                <w:sz w:val="16"/>
                <w:szCs w:val="16"/>
              </w:rPr>
              <w:t xml:space="preserve">정합성 가정</w:t>
            </w:r>
          </w:p>
          <w:p>
            <w:pPr>
              <w:spacing w:after="0" w:before="0" w:line="300"/>
              <w:jc w:val="left"/>
            </w:pPr>
            <w:r>
              <w:rPr>
                <w:rFonts w:ascii="맑은 고딕" w:cs="맑은 고딕" w:eastAsia="맑은 고딕" w:hAnsi="맑은 고딕"/>
                <w:b w:val="false"/>
                <w:bCs w:val="false"/>
                <w:color w:val="262A33"/>
                <w:sz w:val="17"/>
                <w:szCs w:val="17"/>
              </w:rPr>
              <w:t xml:space="preserve">모든 기간에 자산 = 부채 + 자본이다. 2025년 자본은 전기 200 + 시드 투자 500 - 순손실 150 = 550이다. 이후 추가 출자와 배당은 없고, 예시 단순화를 위해 영업외손익과 법인세는 0으로 두었다.</w:t>
            </w:r>
          </w:p>
        </w:tc>
      </w:tr>
    </w:tbl>
    <w:p>
      <w:pPr>
        <w:keepNext/>
        <w:keepLines/>
        <w:spacing w:after="40" w:before="520" w:line="320"/>
        <w:jc w:val="left"/>
      </w:pPr>
      <w:r>
        <w:rPr>
          <w:rFonts w:ascii="맑은 고딕" w:cs="맑은 고딕" w:eastAsia="맑은 고딕" w:hAnsi="맑은 고딕"/>
          <w:b/>
          <w:bCs/>
          <w:color w:val="2F6BFF"/>
          <w:spacing w:val="60"/>
          <w:sz w:val="15"/>
          <w:szCs w:val="15"/>
        </w:rPr>
        <w:t xml:space="preserve">BUSINESS AND MARKET</w:t>
      </w:r>
    </w:p>
    <w:p>
      <w:pPr>
        <w:pStyle w:val="Heading1"/>
        <w:keepNext/>
        <w:pBdr>
          <w:bottom w:val="single" w:color="111111" w:sz="14"/>
        </w:pBdr>
        <w:spacing w:after="260" w:before="0" w:line="300"/>
      </w:pPr>
      <w:r>
        <w:rPr>
          <w:rFonts w:ascii="맑은 고딕" w:cs="맑은 고딕" w:eastAsia="맑은 고딕" w:hAnsi="맑은 고딕"/>
          <w:b/>
          <w:bCs/>
          <w:color w:val="2F6BFF"/>
          <w:sz w:val="40"/>
          <w:szCs w:val="40"/>
        </w:rPr>
        <w:t xml:space="preserve">03  </w:t>
      </w:r>
      <w:r>
        <w:rPr>
          <w:rFonts w:ascii="맑은 고딕" w:cs="맑은 고딕" w:eastAsia="맑은 고딕" w:hAnsi="맑은 고딕"/>
          <w:b/>
          <w:bCs/>
          <w:color w:val="111111"/>
          <w:sz w:val="34"/>
          <w:szCs w:val="34"/>
        </w:rPr>
        <w:t xml:space="preserve">사업성과 시장 진단</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고객 문제와 수익 모델</w:t>
      </w:r>
    </w:p>
    <w:p>
      <w:pPr>
        <w:keepLines/>
        <w:spacing w:after="130" w:before="0" w:line="320"/>
        <w:jc w:val="both"/>
      </w:pPr>
      <w:r>
        <w:rPr>
          <w:rFonts w:ascii="맑은 고딕" w:cs="맑은 고딕" w:eastAsia="맑은 고딕" w:hAnsi="맑은 고딕"/>
          <w:b w:val="false"/>
          <w:bCs w:val="false"/>
          <w:color w:val="262A33"/>
          <w:sz w:val="19"/>
          <w:szCs w:val="19"/>
        </w:rPr>
        <w:t xml:space="preserve">팩토리뷰는 품질 담당자가 생산, 검사 데이터를 수작업으로 합치는 문제를 해결한다. 데이터 연결, 불량 원인 탐색, 주간 품질 리포트를 제공하며, 제조업 고객이 사업장 단위 구독료와 최초 구축비를 지불한다. 제품은 정식 출시 후 매출이 발생하는 단계다.</w:t>
      </w:r>
    </w:p>
    <w:p>
      <w:pPr>
        <w:keepNext/>
        <w:keepLines/>
        <w:spacing w:after="70" w:before="120" w:line="260"/>
        <w:jc w:val="left"/>
      </w:pPr>
      <w:r>
        <w:rPr>
          <w:rFonts w:ascii="맑은 고딕" w:cs="맑은 고딕" w:eastAsia="맑은 고딕" w:hAnsi="맑은 고딕"/>
          <w:b/>
          <w:bCs/>
          <w:color w:val="2F6BFF"/>
          <w:sz w:val="16"/>
          <w:szCs w:val="16"/>
        </w:rPr>
        <w:t xml:space="preserve">표 03-1  </w:t>
      </w:r>
      <w:r>
        <w:rPr>
          <w:rFonts w:ascii="맑은 고딕" w:cs="맑은 고딕" w:eastAsia="맑은 고딕" w:hAnsi="맑은 고딕"/>
          <w:b/>
          <w:bCs/>
          <w:color w:val="111111"/>
          <w:sz w:val="16"/>
          <w:szCs w:val="16"/>
        </w:rPr>
        <w:t xml:space="preserve">고객과 매출 지표</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2610"/>
        <w:gridCol w:w="3012"/>
        <w:gridCol w:w="4016"/>
      </w:tblGrid>
      <w:tr>
        <w:trPr>
          <w:cantSplit/>
          <w:tblHeader/>
        </w:trPr>
        <w:tc>
          <w:tcPr>
            <w:tcW w:type="dxa" w:w="2610"/>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지표</w:t>
            </w:r>
          </w:p>
        </w:tc>
        <w:tc>
          <w:tcPr>
            <w:tcW w:type="dxa" w:w="3012"/>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가상 실적</w:t>
            </w:r>
          </w:p>
        </w:tc>
        <w:tc>
          <w:tcPr>
            <w:tcW w:type="dxa" w:w="4016"/>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해석</w:t>
            </w:r>
          </w:p>
        </w:tc>
      </w:tr>
      <w:tr>
        <w:trPr>
          <w:cantSplit/>
        </w:trPr>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유료 고객 / 월 반복매출</w:t>
            </w:r>
          </w:p>
        </w:tc>
        <w:tc>
          <w:tcPr>
            <w:tcW w:type="dxa" w:w="3012"/>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18개사 / 42</w:t>
            </w:r>
          </w:p>
        </w:tc>
        <w:tc>
          <w:tcPr>
            <w:tcW w:type="dxa" w:w="401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고객당 월평균 구독액 약 2.33</w:t>
            </w:r>
          </w:p>
        </w:tc>
      </w:tr>
      <w:tr>
        <w:trPr>
          <w:cantSplit/>
        </w:trPr>
        <w:tc>
          <w:tcPr>
            <w:tcW w:type="dxa" w:w="26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연환산 반복매출</w:t>
            </w:r>
          </w:p>
        </w:tc>
        <w:tc>
          <w:tcPr>
            <w:tcW w:type="dxa" w:w="3012"/>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504</w:t>
            </w:r>
          </w:p>
        </w:tc>
        <w:tc>
          <w:tcPr>
            <w:tcW w:type="dxa" w:w="4016"/>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9월 월 반복매출 42 × 12, 연간 확정 매출과 다름</w:t>
            </w:r>
          </w:p>
        </w:tc>
      </w:tr>
      <w:tr>
        <w:trPr>
          <w:cantSplit/>
        </w:trPr>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9월 누적 매출 구성</w:t>
            </w:r>
          </w:p>
        </w:tc>
        <w:tc>
          <w:tcPr>
            <w:tcW w:type="dxa" w:w="3012"/>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구독 300 / 구축, 서비스 330</w:t>
            </w:r>
          </w:p>
        </w:tc>
        <w:tc>
          <w:tcPr>
            <w:tcW w:type="dxa" w:w="401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비반복 매출 비중 52.4%</w:t>
            </w:r>
          </w:p>
        </w:tc>
      </w:tr>
      <w:tr>
        <w:trPr>
          <w:cantSplit/>
        </w:trPr>
        <w:tc>
          <w:tcPr>
            <w:tcW w:type="dxa" w:w="26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PoC 유료 전환</w:t>
            </w:r>
          </w:p>
        </w:tc>
        <w:tc>
          <w:tcPr>
            <w:tcW w:type="dxa" w:w="3012"/>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완료 12건 중 6건 / 50%</w:t>
            </w:r>
          </w:p>
        </w:tc>
        <w:tc>
          <w:tcPr>
            <w:tcW w:type="dxa" w:w="4016"/>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2026년 1~9월 종료한 동일 집단 기준</w:t>
            </w:r>
          </w:p>
        </w:tc>
      </w:tr>
      <w:tr>
        <w:trPr>
          <w:cantSplit/>
        </w:trPr>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고객 집중도</w:t>
            </w:r>
          </w:p>
        </w:tc>
        <w:tc>
          <w:tcPr>
            <w:tcW w:type="dxa" w:w="3012"/>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상위 3개사 매출 비중 55%</w:t>
            </w:r>
          </w:p>
        </w:tc>
        <w:tc>
          <w:tcPr>
            <w:tcW w:type="dxa" w:w="401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누적 총매출 기준, 구축 매출 영향 포함</w:t>
            </w:r>
          </w:p>
        </w:tc>
      </w:tr>
    </w:tbl>
    <w:p>
      <w:pPr>
        <w:spacing w:after="160" w:before="0" w:line="120"/>
      </w:pP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시장 규모를 검증 가능한 가정으로 분해</w:t>
      </w:r>
    </w:p>
    <w:p>
      <w:pPr>
        <w:keepNext/>
        <w:keepLines/>
        <w:spacing w:after="70" w:before="120" w:line="260"/>
        <w:jc w:val="left"/>
      </w:pPr>
      <w:r>
        <w:rPr>
          <w:rFonts w:ascii="맑은 고딕" w:cs="맑은 고딕" w:eastAsia="맑은 고딕" w:hAnsi="맑은 고딕"/>
          <w:b/>
          <w:bCs/>
          <w:color w:val="2F6BFF"/>
          <w:sz w:val="16"/>
          <w:szCs w:val="16"/>
        </w:rPr>
        <w:t xml:space="preserve">표 03-2  </w:t>
      </w:r>
      <w:r>
        <w:rPr>
          <w:rFonts w:ascii="맑은 고딕" w:cs="맑은 고딕" w:eastAsia="맑은 고딕" w:hAnsi="맑은 고딕"/>
          <w:b/>
          <w:bCs/>
          <w:color w:val="111111"/>
          <w:sz w:val="16"/>
          <w:szCs w:val="16"/>
        </w:rPr>
        <w:t xml:space="preserve">TAM, SAM, SOM 산식</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1205"/>
        <w:gridCol w:w="4217"/>
        <w:gridCol w:w="4216"/>
      </w:tblGrid>
      <w:tr>
        <w:trPr>
          <w:cantSplit/>
          <w:tblHeader/>
        </w:trPr>
        <w:tc>
          <w:tcPr>
            <w:tcW w:type="dxa" w:w="1205"/>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구분</w:t>
            </w:r>
          </w:p>
        </w:tc>
        <w:tc>
          <w:tcPr>
            <w:tcW w:type="dxa" w:w="4217"/>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산식과 결과</w:t>
            </w:r>
          </w:p>
        </w:tc>
        <w:tc>
          <w:tcPr>
            <w:tcW w:type="dxa" w:w="4216"/>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검증할 가정</w:t>
            </w:r>
          </w:p>
        </w:tc>
      </w:tr>
      <w:tr>
        <w:trPr>
          <w:cantSplit/>
        </w:trPr>
        <w:tc>
          <w:tcPr>
            <w:tcW w:type="dxa" w:w="1205"/>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TAM</w:t>
            </w:r>
          </w:p>
        </w:tc>
        <w:tc>
          <w:tcPr>
            <w:tcW w:type="dxa" w:w="4217"/>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20,000개 사업장 × 연 24 = </w:t>
            </w:r>
            <w:r>
              <w:rPr>
                <w:rFonts w:ascii="맑은 고딕" w:cs="맑은 고딕" w:eastAsia="맑은 고딕" w:hAnsi="맑은 고딕"/>
                <w:b/>
                <w:bCs/>
                <w:color w:val="111111"/>
                <w:sz w:val="17"/>
                <w:szCs w:val="17"/>
              </w:rPr>
              <w:t xml:space="preserve">480,000</w:t>
            </w:r>
          </w:p>
        </w:tc>
        <w:tc>
          <w:tcPr>
            <w:tcW w:type="dxa" w:w="421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대상 업종 전체 사업장 수</w:t>
            </w:r>
          </w:p>
        </w:tc>
      </w:tr>
      <w:tr>
        <w:trPr>
          <w:cantSplit/>
        </w:trPr>
        <w:tc>
          <w:tcPr>
            <w:tcW w:type="dxa" w:w="1205"/>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SAM</w:t>
            </w:r>
          </w:p>
        </w:tc>
        <w:tc>
          <w:tcPr>
            <w:tcW w:type="dxa" w:w="4217"/>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3,000개 사업장 × 연 24 = </w:t>
            </w:r>
            <w:r>
              <w:rPr>
                <w:rFonts w:ascii="맑은 고딕" w:cs="맑은 고딕" w:eastAsia="맑은 고딕" w:hAnsi="맑은 고딕"/>
                <w:b/>
                <w:bCs/>
                <w:color w:val="111111"/>
                <w:sz w:val="17"/>
                <w:szCs w:val="17"/>
              </w:rPr>
              <w:t xml:space="preserve">72,000</w:t>
            </w:r>
          </w:p>
        </w:tc>
        <w:tc>
          <w:tcPr>
            <w:tcW w:type="dxa" w:w="4216"/>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데이터 확보와 구매 예산 조건을 충족한 사업장</w:t>
            </w:r>
          </w:p>
        </w:tc>
      </w:tr>
      <w:tr>
        <w:trPr>
          <w:cantSplit/>
        </w:trPr>
        <w:tc>
          <w:tcPr>
            <w:tcW w:type="dxa" w:w="1205"/>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SOM</w:t>
            </w:r>
          </w:p>
        </w:tc>
        <w:tc>
          <w:tcPr>
            <w:tcW w:type="dxa" w:w="4217"/>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3년 내 100개 사업장 × 연 24 = </w:t>
            </w:r>
            <w:r>
              <w:rPr>
                <w:rFonts w:ascii="맑은 고딕" w:cs="맑은 고딕" w:eastAsia="맑은 고딕" w:hAnsi="맑은 고딕"/>
                <w:b/>
                <w:bCs/>
                <w:color w:val="111111"/>
                <w:sz w:val="17"/>
                <w:szCs w:val="17"/>
              </w:rPr>
              <w:t xml:space="preserve">2,400</w:t>
            </w:r>
          </w:p>
        </w:tc>
        <w:tc>
          <w:tcPr>
            <w:tcW w:type="dxa" w:w="421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영업 인력과 설치 역량으로 확보 가능한 고객</w:t>
            </w:r>
          </w:p>
        </w:tc>
      </w:tr>
    </w:tbl>
    <w:p>
      <w:pPr>
        <w:spacing w:after="160" w:before="0" w:line="120"/>
      </w:pPr>
    </w:p>
    <w:tbl>
      <w:tblPr>
        <w:tblW w:type="dxa" w:w="9638"/>
        <w:tblBorders>
          <w:top w:val="single" w:color="D5DBE5" w:sz="4"/>
          <w:left w:val="none" w:color="FFFFFF" w:sz="0"/>
          <w:bottom w:val="single" w:color="D5DBE5" w:sz="4"/>
          <w:right w:val="none" w:color="FFFFFF" w:sz="0"/>
          <w:insideH w:val="none" w:color="FFFFFF" w:sz="0"/>
          <w:insideV w:val="single" w:color="D5DBE5" w:sz="4"/>
        </w:tblBorders>
      </w:tblPr>
      <w:tblGrid>
        <w:gridCol w:w="4819"/>
        <w:gridCol w:w="4819"/>
      </w:tblGrid>
      <w:tr>
        <w:trPr>
          <w:cantSplit/>
        </w:trPr>
        <w:tc>
          <w:tcPr>
            <w:tcW w:type="dxa" w:w="4819"/>
            <w:tcMar>
              <w:top w:type="dxa" w:w="140"/>
              <w:left w:type="dxa" w:w="110"/>
              <w:bottom w:type="dxa" w:w="120"/>
              <w:right w:type="dxa" w:w="110"/>
            </w:tcMar>
            <w:vAlign w:val="top"/>
          </w:tcPr>
          <w:p>
            <w:pPr>
              <w:spacing w:after="80" w:before="0" w:line="264"/>
              <w:jc w:val="left"/>
            </w:pPr>
            <w:r>
              <w:rPr>
                <w:rFonts w:ascii="맑은 고딕" w:cs="맑은 고딕" w:eastAsia="맑은 고딕" w:hAnsi="맑은 고딕"/>
                <w:b/>
                <w:bCs/>
                <w:color w:val="2F6BFF"/>
                <w:sz w:val="16"/>
                <w:szCs w:val="16"/>
              </w:rPr>
              <w:t xml:space="preserve">그림 03-1  </w:t>
            </w:r>
            <w:r>
              <w:rPr>
                <w:rFonts w:ascii="맑은 고딕" w:cs="맑은 고딕" w:eastAsia="맑은 고딕" w:hAnsi="맑은 고딕"/>
                <w:b/>
                <w:bCs/>
                <w:color w:val="111111"/>
                <w:sz w:val="16"/>
                <w:szCs w:val="16"/>
              </w:rPr>
              <w:t xml:space="preserve">시장 규모 구조</w:t>
            </w:r>
          </w:p>
          <w:p>
            <w:pPr>
              <w:jc w:val="center"/>
            </w:pPr>
            <w:r>
              <w:drawing>
                <wp:inline distT="0" distB="0" distL="0" distR="0">
                  <wp:extent cx="2676525" cy="149542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76525" cy="1495425"/>
                          </a:xfrm>
                          <a:prstGeom prst="rect">
                            <a:avLst/>
                          </a:prstGeom>
                        </pic:spPr>
                      </pic:pic>
                    </a:graphicData>
                  </a:graphic>
                </wp:inline>
              </w:drawing>
            </w:r>
          </w:p>
        </w:tc>
        <w:tc>
          <w:tcPr>
            <w:tcW w:type="dxa" w:w="4819"/>
            <w:tcMar>
              <w:top w:type="dxa" w:w="140"/>
              <w:left w:type="dxa" w:w="110"/>
              <w:bottom w:type="dxa" w:w="120"/>
              <w:right w:type="dxa" w:w="110"/>
            </w:tcMar>
            <w:vAlign w:val="top"/>
          </w:tcPr>
          <w:p>
            <w:pPr>
              <w:spacing w:after="80" w:before="0" w:line="264"/>
              <w:jc w:val="left"/>
            </w:pPr>
            <w:r>
              <w:rPr>
                <w:rFonts w:ascii="맑은 고딕" w:cs="맑은 고딕" w:eastAsia="맑은 고딕" w:hAnsi="맑은 고딕"/>
                <w:b/>
                <w:bCs/>
                <w:color w:val="2F6BFF"/>
                <w:sz w:val="16"/>
                <w:szCs w:val="16"/>
              </w:rPr>
              <w:t xml:space="preserve">그림 03-2  </w:t>
            </w:r>
            <w:r>
              <w:rPr>
                <w:rFonts w:ascii="맑은 고딕" w:cs="맑은 고딕" w:eastAsia="맑은 고딕" w:hAnsi="맑은 고딕"/>
                <w:b/>
                <w:bCs/>
                <w:color w:val="111111"/>
                <w:sz w:val="16"/>
                <w:szCs w:val="16"/>
              </w:rPr>
              <w:t xml:space="preserve">매출 구성과 PoC 전환</w:t>
            </w:r>
          </w:p>
          <w:p>
            <w:pPr>
              <w:jc w:val="center"/>
            </w:pPr>
            <w:r>
              <w:drawing>
                <wp:inline distT="0" distB="0" distL="0" distR="0">
                  <wp:extent cx="2676525" cy="174307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676525" cy="1743075"/>
                          </a:xfrm>
                          <a:prstGeom prst="rect">
                            <a:avLst/>
                          </a:prstGeom>
                        </pic:spPr>
                      </pic:pic>
                    </a:graphicData>
                  </a:graphic>
                </wp:inline>
              </w:drawing>
            </w:r>
          </w:p>
        </w:tc>
      </w:tr>
    </w:tbl>
    <w:p>
      <w:pPr>
        <w:keepLines/>
        <w:spacing w:after="180" w:before="50" w:line="240"/>
        <w:jc w:val="left"/>
      </w:pPr>
      <w:r>
        <w:rPr>
          <w:rFonts w:ascii="맑은 고딕" w:cs="맑은 고딕" w:eastAsia="맑은 고딕" w:hAnsi="맑은 고딕"/>
          <w:color w:val="9AA3AF"/>
          <w:sz w:val="14"/>
          <w:szCs w:val="14"/>
        </w:rPr>
        <w:t xml:space="preserve">자료: 한결팩토리 제출 자료(가상), ㈜포항연합기술지주 분석</w:t>
      </w:r>
    </w:p>
    <w:p>
      <w:pPr>
        <w:keepLines/>
        <w:spacing w:after="130" w:before="0" w:line="320"/>
        <w:jc w:val="both"/>
      </w:pPr>
      <w:r>
        <w:rPr>
          <w:rFonts w:ascii="맑은 고딕" w:cs="맑은 고딕" w:eastAsia="맑은 고딕" w:hAnsi="맑은 고딕"/>
          <w:b w:val="false"/>
          <w:bCs w:val="false"/>
          <w:color w:val="262A33"/>
          <w:sz w:val="19"/>
          <w:szCs w:val="19"/>
        </w:rPr>
        <w:t xml:space="preserve">시장 수치와 사업장 수는 외부 통계가 아닌 모델링용 가정이다. 구독 매출만 산정했으며 구축비는 제외했다. 시장 산식의 연 24는 표준 상품 가격 가정이고, 현재 고객 평균 연 28과는 상품 구성 차이가 있다.</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경쟁 대안과 차별성</w:t>
      </w:r>
    </w:p>
    <w:p>
      <w:pPr>
        <w:keepNext/>
        <w:keepLines/>
        <w:spacing w:after="70" w:before="120" w:line="260"/>
        <w:jc w:val="left"/>
      </w:pPr>
      <w:r>
        <w:rPr>
          <w:rFonts w:ascii="맑은 고딕" w:cs="맑은 고딕" w:eastAsia="맑은 고딕" w:hAnsi="맑은 고딕"/>
          <w:b/>
          <w:bCs/>
          <w:color w:val="2F6BFF"/>
          <w:sz w:val="16"/>
          <w:szCs w:val="16"/>
        </w:rPr>
        <w:t xml:space="preserve">표 03-3  </w:t>
      </w:r>
      <w:r>
        <w:rPr>
          <w:rFonts w:ascii="맑은 고딕" w:cs="맑은 고딕" w:eastAsia="맑은 고딕" w:hAnsi="맑은 고딕"/>
          <w:b/>
          <w:bCs/>
          <w:color w:val="111111"/>
          <w:sz w:val="16"/>
          <w:szCs w:val="16"/>
        </w:rPr>
        <w:t xml:space="preserve">고객이 고려하는 대안 비교</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2008"/>
        <w:gridCol w:w="3815"/>
        <w:gridCol w:w="3815"/>
      </w:tblGrid>
      <w:tr>
        <w:trPr>
          <w:cantSplit/>
          <w:tblHeader/>
        </w:trPr>
        <w:tc>
          <w:tcPr>
            <w:tcW w:type="dxa" w:w="2008"/>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대안</w:t>
            </w:r>
          </w:p>
        </w:tc>
        <w:tc>
          <w:tcPr>
            <w:tcW w:type="dxa" w:w="3815"/>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장점</w:t>
            </w:r>
          </w:p>
        </w:tc>
        <w:tc>
          <w:tcPr>
            <w:tcW w:type="dxa" w:w="3815"/>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한계</w:t>
            </w:r>
          </w:p>
        </w:tc>
      </w:tr>
      <w:tr>
        <w:trPr>
          <w:cantSplit/>
        </w:trPr>
        <w:tc>
          <w:tcPr>
            <w:tcW w:type="dxa" w:w="2008"/>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수작업 엑셀</w:t>
            </w:r>
          </w:p>
        </w:tc>
        <w:tc>
          <w:tcPr>
            <w:tcW w:type="dxa" w:w="3815"/>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초기 비용이 낮다</w:t>
            </w:r>
          </w:p>
        </w:tc>
        <w:tc>
          <w:tcPr>
            <w:tcW w:type="dxa" w:w="3815"/>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집계에 시간이 든다</w:t>
            </w:r>
          </w:p>
        </w:tc>
      </w:tr>
      <w:tr>
        <w:trPr>
          <w:cantSplit/>
        </w:trPr>
        <w:tc>
          <w:tcPr>
            <w:tcW w:type="dxa" w:w="2008"/>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범용 BI</w:t>
            </w:r>
          </w:p>
        </w:tc>
        <w:tc>
          <w:tcPr>
            <w:tcW w:type="dxa" w:w="3815"/>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유연하다</w:t>
            </w:r>
          </w:p>
        </w:tc>
        <w:tc>
          <w:tcPr>
            <w:tcW w:type="dxa" w:w="3815"/>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현장 데이터 정리가 필요하다</w:t>
            </w:r>
          </w:p>
        </w:tc>
      </w:tr>
      <w:tr>
        <w:trPr>
          <w:cantSplit/>
        </w:trPr>
        <w:tc>
          <w:tcPr>
            <w:tcW w:type="dxa" w:w="2008"/>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구축형 MES</w:t>
            </w:r>
          </w:p>
        </w:tc>
        <w:tc>
          <w:tcPr>
            <w:tcW w:type="dxa" w:w="3815"/>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폭넓은 기능을 제공한다</w:t>
            </w:r>
          </w:p>
        </w:tc>
        <w:tc>
          <w:tcPr>
            <w:tcW w:type="dxa" w:w="3815"/>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적용 범위와 초기 투입이 커질 수 있다</w:t>
            </w:r>
          </w:p>
        </w:tc>
      </w:tr>
      <w:tr>
        <w:trPr>
          <w:cantSplit/>
        </w:trPr>
        <w:tc>
          <w:tcPr>
            <w:tcW w:type="dxa" w:w="2008"/>
            <w:shd w:fill="E9EDF4"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팩토리뷰</w:t>
            </w:r>
          </w:p>
        </w:tc>
        <w:tc>
          <w:tcPr>
            <w:tcW w:type="dxa" w:w="3815"/>
            <w:shd w:fill="E9EDF4"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기존 시스템 교체 없이 품질 분석부터 시작</w:t>
            </w:r>
          </w:p>
        </w:tc>
        <w:tc>
          <w:tcPr>
            <w:tcW w:type="dxa" w:w="3815"/>
            <w:shd w:fill="E9EDF4"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공략 대상: 품질 분석부터 도입하려는 고객</w:t>
            </w:r>
          </w:p>
        </w:tc>
      </w:tr>
    </w:tbl>
    <w:p>
      <w:pPr>
        <w:keepLines/>
        <w:spacing w:after="180" w:before="50" w:line="240"/>
        <w:jc w:val="left"/>
      </w:pPr>
      <w:r>
        <w:rPr>
          <w:rFonts w:ascii="맑은 고딕" w:cs="맑은 고딕" w:eastAsia="맑은 고딕" w:hAnsi="맑은 고딕"/>
          <w:color w:val="9AA3AF"/>
          <w:sz w:val="14"/>
          <w:szCs w:val="14"/>
        </w:rPr>
        <w:t xml:space="preserve">주: 가상 제품 포지셔닝이며 특정 경쟁사 검증 결과가 아님</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12"/>
        <w:gridCol w:w="3212"/>
        <w:gridCol w:w="3214"/>
      </w:tblGrid>
      <w:tr>
        <w:trPr>
          <w:cantSplit/>
        </w:trPr>
        <w:tc>
          <w:tcPr>
            <w:tcW w:type="dxa" w:w="3212"/>
            <w:tcBorders>
              <w:top w:val="single" w:color="2F6BFF"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도입 전 주간 분석 시간</w:t>
            </w:r>
          </w:p>
          <w:p>
            <w:pPr>
              <w:spacing w:after="40" w:before="0" w:line="380"/>
              <w:jc w:val="left"/>
            </w:pPr>
            <w:r>
              <w:rPr>
                <w:rFonts w:ascii="맑은 고딕" w:cs="맑은 고딕" w:eastAsia="맑은 고딕" w:hAnsi="맑은 고딕"/>
                <w:b/>
                <w:bCs/>
                <w:color w:val="6B7280"/>
                <w:sz w:val="34"/>
                <w:szCs w:val="34"/>
              </w:rPr>
              <w:t xml:space="preserve">10</w:t>
            </w:r>
            <w:r>
              <w:rPr>
                <w:rFonts w:ascii="맑은 고딕" w:cs="맑은 고딕" w:eastAsia="맑은 고딕" w:hAnsi="맑은 고딕"/>
                <w:b/>
                <w:bCs/>
                <w:color w:val="0B1F4B"/>
                <w:sz w:val="17"/>
                <w:szCs w:val="17"/>
              </w:rPr>
              <w:t xml:space="preserve"> 시간</w:t>
            </w:r>
          </w:p>
          <w:p>
            <w:pPr>
              <w:spacing w:after="0" w:before="0" w:line="240"/>
              <w:jc w:val="left"/>
            </w:pPr>
            <w:r>
              <w:rPr>
                <w:rFonts w:ascii="맑은 고딕" w:cs="맑은 고딕" w:eastAsia="맑은 고딕" w:hAnsi="맑은 고딕"/>
                <w:color w:val="6B7280"/>
                <w:sz w:val="14"/>
                <w:szCs w:val="14"/>
              </w:rPr>
              <w:t xml:space="preserve">가상 고객 5개사 평균</w:t>
            </w:r>
          </w:p>
        </w:tc>
        <w:tc>
          <w:tcPr>
            <w:tcW w:type="dxa" w:w="3212"/>
            <w:tcBorders>
              <w:top w:val="single" w:color="2F6BFF"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도입 후 주간 분석 시간</w:t>
            </w:r>
          </w:p>
          <w:p>
            <w:pPr>
              <w:spacing w:after="40" w:before="0" w:line="380"/>
              <w:jc w:val="left"/>
            </w:pPr>
            <w:r>
              <w:rPr>
                <w:rFonts w:ascii="맑은 고딕" w:cs="맑은 고딕" w:eastAsia="맑은 고딕" w:hAnsi="맑은 고딕"/>
                <w:b/>
                <w:bCs/>
                <w:color w:val="0B1F4B"/>
                <w:sz w:val="34"/>
                <w:szCs w:val="34"/>
              </w:rPr>
              <w:t xml:space="preserve">6</w:t>
            </w:r>
            <w:r>
              <w:rPr>
                <w:rFonts w:ascii="맑은 고딕" w:cs="맑은 고딕" w:eastAsia="맑은 고딕" w:hAnsi="맑은 고딕"/>
                <w:b/>
                <w:bCs/>
                <w:color w:val="0B1F4B"/>
                <w:sz w:val="17"/>
                <w:szCs w:val="17"/>
              </w:rPr>
              <w:t xml:space="preserve"> 시간</w:t>
            </w:r>
          </w:p>
          <w:p>
            <w:pPr>
              <w:spacing w:after="0" w:before="0" w:line="240"/>
              <w:jc w:val="left"/>
            </w:pPr>
            <w:r>
              <w:rPr>
                <w:rFonts w:ascii="맑은 고딕" w:cs="맑은 고딕" w:eastAsia="맑은 고딕" w:hAnsi="맑은 고딕"/>
                <w:color w:val="6B7280"/>
                <w:sz w:val="14"/>
                <w:szCs w:val="14"/>
              </w:rPr>
              <w:t xml:space="preserve">전후 측정 사례</w:t>
            </w:r>
          </w:p>
        </w:tc>
        <w:tc>
          <w:tcPr>
            <w:tcW w:type="dxa" w:w="3214"/>
            <w:tcBorders>
              <w:top w:val="single" w:color="2F6BFF"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분석 시간 절감률</w:t>
            </w:r>
          </w:p>
          <w:p>
            <w:pPr>
              <w:spacing w:after="40" w:before="0" w:line="380"/>
              <w:jc w:val="left"/>
            </w:pPr>
            <w:r>
              <w:rPr>
                <w:rFonts w:ascii="맑은 고딕" w:cs="맑은 고딕" w:eastAsia="맑은 고딕" w:hAnsi="맑은 고딕"/>
                <w:b/>
                <w:bCs/>
                <w:color w:val="2F6BFF"/>
                <w:sz w:val="34"/>
                <w:szCs w:val="34"/>
              </w:rPr>
              <w:t xml:space="preserve">40</w:t>
            </w:r>
            <w:r>
              <w:rPr>
                <w:rFonts w:ascii="맑은 고딕" w:cs="맑은 고딕" w:eastAsia="맑은 고딕" w:hAnsi="맑은 고딕"/>
                <w:b/>
                <w:bCs/>
                <w:color w:val="0B1F4B"/>
                <w:sz w:val="17"/>
                <w:szCs w:val="17"/>
              </w:rPr>
              <w:t xml:space="preserve"> %</w:t>
            </w:r>
          </w:p>
          <w:p>
            <w:pPr>
              <w:spacing w:after="0" w:before="0" w:line="240"/>
              <w:jc w:val="left"/>
            </w:pPr>
            <w:r>
              <w:rPr>
                <w:rFonts w:ascii="맑은 고딕" w:cs="맑은 고딕" w:eastAsia="맑은 고딕" w:hAnsi="맑은 고딕"/>
                <w:color w:val="6B7280"/>
                <w:sz w:val="14"/>
                <w:szCs w:val="14"/>
              </w:rPr>
              <w:t xml:space="preserve">작은 사례 집단의 결과</w:t>
            </w:r>
          </w:p>
        </w:tc>
      </w:tr>
    </w:tbl>
    <w:p>
      <w:pPr>
        <w:spacing w:after="100" w:before="0" w:line="120"/>
      </w:pPr>
    </w:p>
    <w:p>
      <w:pPr>
        <w:keepLines/>
        <w:spacing w:after="130" w:before="0" w:line="320"/>
        <w:jc w:val="both"/>
      </w:pPr>
      <w:r>
        <w:rPr>
          <w:rFonts w:ascii="맑은 고딕" w:cs="맑은 고딕" w:eastAsia="맑은 고딕" w:hAnsi="맑은 고딕"/>
          <w:b w:val="false"/>
          <w:bCs w:val="false"/>
          <w:color w:val="262A33"/>
          <w:sz w:val="19"/>
          <w:szCs w:val="19"/>
        </w:rPr>
        <w:t xml:space="preserve">가상 고객 5개사의 전후 측정에서 주간 분석 시간이 평균 10시간에서 6시간으로 줄었다는 사례를 설정했다. 절감률 40%는 작은 사례 집단의 결과이므로 모든 고객에게 동일한 효과를 약속하지 않는다.</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기술 권리와 1년 로드맵</w:t>
      </w:r>
    </w:p>
    <w:p>
      <w:pPr>
        <w:keepLines/>
        <w:spacing w:after="130" w:before="0" w:line="320"/>
        <w:jc w:val="both"/>
      </w:pPr>
      <w:r>
        <w:rPr>
          <w:rFonts w:ascii="맑은 고딕" w:cs="맑은 고딕" w:eastAsia="맑은 고딕" w:hAnsi="맑은 고딕"/>
          <w:b w:val="false"/>
          <w:bCs w:val="false"/>
          <w:color w:val="262A33"/>
          <w:sz w:val="19"/>
          <w:szCs w:val="19"/>
        </w:rPr>
        <w:t xml:space="preserve">불량 패턴 분석 방법 특허 1건 출원, 팩토리뷰 상표 1건 등록을 가정한다. 권리자는 회사이며 번호는 생략했다. 2026년 4분기 표준 커넥터, 2027년 1분기 제품 2.0, 2분기 파트너 판매, 3분기 인접 업종 실증 순으로 확장한다.</w:t>
      </w:r>
    </w:p>
    <w:p>
      <w:pPr>
        <w:keepNext/>
        <w:keepLines/>
        <w:spacing w:after="70" w:before="120" w:line="260"/>
        <w:jc w:val="left"/>
      </w:pPr>
      <w:r>
        <w:rPr>
          <w:rFonts w:ascii="맑은 고딕" w:cs="맑은 고딕" w:eastAsia="맑은 고딕" w:hAnsi="맑은 고딕"/>
          <w:b/>
          <w:bCs/>
          <w:color w:val="2F6BFF"/>
          <w:sz w:val="16"/>
          <w:szCs w:val="16"/>
        </w:rPr>
        <w:t xml:space="preserve">그림 03-3  </w:t>
      </w:r>
      <w:r>
        <w:rPr>
          <w:rFonts w:ascii="맑은 고딕" w:cs="맑은 고딕" w:eastAsia="맑은 고딕" w:hAnsi="맑은 고딕"/>
          <w:b/>
          <w:bCs/>
          <w:color w:val="111111"/>
          <w:sz w:val="16"/>
          <w:szCs w:val="16"/>
        </w:rPr>
        <w:t xml:space="preserve">제품과 시장 확장 로드맵</w:t>
      </w:r>
    </w:p>
    <w:p>
      <w:pPr>
        <w:keepNext/>
        <w:spacing w:after="0" w:before="60"/>
        <w:jc w:val="center"/>
      </w:pPr>
      <w:r>
        <w:drawing>
          <wp:inline distT="0" distB="0" distL="0" distR="0">
            <wp:extent cx="6124575" cy="115252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124575" cy="1152525"/>
                    </a:xfrm>
                    <a:prstGeom prst="rect">
                      <a:avLst/>
                    </a:prstGeom>
                  </pic:spPr>
                </pic:pic>
              </a:graphicData>
            </a:graphic>
          </wp:inline>
        </w:drawing>
      </w:r>
    </w:p>
    <w:p>
      <w:pPr>
        <w:keepLines/>
        <w:spacing w:after="180" w:before="50" w:line="240"/>
        <w:jc w:val="left"/>
      </w:pPr>
      <w:r>
        <w:rPr>
          <w:rFonts w:ascii="맑은 고딕" w:cs="맑은 고딕" w:eastAsia="맑은 고딕" w:hAnsi="맑은 고딕"/>
          <w:color w:val="9AA3AF"/>
          <w:sz w:val="14"/>
          <w:szCs w:val="14"/>
        </w:rPr>
        <w:t xml:space="preserve">자료: 한결팩토리 제출 자료(가상), ㈜포항연합기술지주 분석</w:t>
      </w:r>
    </w:p>
    <w:p>
      <w:pPr>
        <w:keepNext/>
        <w:keepLines/>
        <w:spacing w:after="40" w:before="520" w:line="320"/>
        <w:jc w:val="left"/>
      </w:pPr>
      <w:r>
        <w:rPr>
          <w:rFonts w:ascii="맑은 고딕" w:cs="맑은 고딕" w:eastAsia="맑은 고딕" w:hAnsi="맑은 고딕"/>
          <w:b/>
          <w:bCs/>
          <w:color w:val="2F6BFF"/>
          <w:spacing w:val="60"/>
          <w:sz w:val="15"/>
          <w:szCs w:val="15"/>
        </w:rPr>
        <w:t xml:space="preserve">STRATEGY</w:t>
      </w:r>
    </w:p>
    <w:p>
      <w:pPr>
        <w:pStyle w:val="Heading1"/>
        <w:keepNext/>
        <w:pBdr>
          <w:bottom w:val="single" w:color="111111" w:sz="14"/>
        </w:pBdr>
        <w:spacing w:after="260" w:before="0" w:line="300"/>
      </w:pPr>
      <w:r>
        <w:rPr>
          <w:rFonts w:ascii="맑은 고딕" w:cs="맑은 고딕" w:eastAsia="맑은 고딕" w:hAnsi="맑은 고딕"/>
          <w:b/>
          <w:bCs/>
          <w:color w:val="2F6BFF"/>
          <w:sz w:val="40"/>
          <w:szCs w:val="40"/>
        </w:rPr>
        <w:t xml:space="preserve">04  </w:t>
      </w:r>
      <w:r>
        <w:rPr>
          <w:rFonts w:ascii="맑은 고딕" w:cs="맑은 고딕" w:eastAsia="맑은 고딕" w:hAnsi="맑은 고딕"/>
          <w:b/>
          <w:bCs/>
          <w:color w:val="111111"/>
          <w:sz w:val="34"/>
          <w:szCs w:val="34"/>
        </w:rPr>
        <w:t xml:space="preserve">전략 진단과 고객 메시지</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SWOT와 실행 전략</w:t>
      </w:r>
    </w:p>
    <w:p>
      <w:pPr>
        <w:keepNext/>
        <w:keepLines/>
        <w:spacing w:after="70" w:before="120" w:line="260"/>
        <w:jc w:val="left"/>
      </w:pPr>
      <w:r>
        <w:rPr>
          <w:rFonts w:ascii="맑은 고딕" w:cs="맑은 고딕" w:eastAsia="맑은 고딕" w:hAnsi="맑은 고딕"/>
          <w:b/>
          <w:bCs/>
          <w:color w:val="2F6BFF"/>
          <w:sz w:val="16"/>
          <w:szCs w:val="16"/>
        </w:rPr>
        <w:t xml:space="preserve">표 04-1  </w:t>
      </w:r>
      <w:r>
        <w:rPr>
          <w:rFonts w:ascii="맑은 고딕" w:cs="맑은 고딕" w:eastAsia="맑은 고딕" w:hAnsi="맑은 고딕"/>
          <w:b/>
          <w:bCs/>
          <w:color w:val="111111"/>
          <w:sz w:val="16"/>
          <w:szCs w:val="16"/>
        </w:rPr>
        <w:t xml:space="preserve">SWOT 매트릭스</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single" w:color="FFFFFF" w:sz="24"/>
              <w:left w:val="single" w:color="FFFFFF" w:sz="24"/>
              <w:bottom w:val="single" w:color="FFFFFF" w:sz="24"/>
              <w:right w:val="single" w:color="FFFFFF" w:sz="24"/>
            </w:tcBorders>
            <w:shd w:fill="0B1F4B" w:color="auto" w:val="clear"/>
            <w:tcMar>
              <w:top w:type="dxa" w:w="160"/>
              <w:left w:type="dxa" w:w="200"/>
              <w:bottom w:type="dxa" w:w="180"/>
              <w:right w:type="dxa" w:w="200"/>
            </w:tcMar>
            <w:vAlign w:val="top"/>
          </w:tcPr>
          <w:p>
            <w:pPr>
              <w:spacing w:after="80" w:before="0" w:line="420"/>
              <w:jc w:val="left"/>
            </w:pPr>
            <w:r>
              <w:rPr>
                <w:rFonts w:ascii="맑은 고딕" w:cs="맑은 고딕" w:eastAsia="맑은 고딕" w:hAnsi="맑은 고딕"/>
                <w:b/>
                <w:bCs/>
                <w:color w:val="FFFFFF"/>
                <w:sz w:val="40"/>
                <w:szCs w:val="40"/>
              </w:rPr>
              <w:t xml:space="preserve">S</w:t>
            </w:r>
            <w:r>
              <w:rPr>
                <w:rFonts w:ascii="맑은 고딕" w:cs="맑은 고딕" w:eastAsia="맑은 고딕" w:hAnsi="맑은 고딕"/>
                <w:b/>
                <w:bCs/>
                <w:color w:val="FFFFFF"/>
                <w:sz w:val="18"/>
                <w:szCs w:val="18"/>
              </w:rPr>
              <w:t xml:space="preserve">  강점</w:t>
            </w:r>
          </w:p>
          <w:p>
            <w:pPr>
              <w:spacing w:after="90" w:before="0" w:line="280"/>
              <w:jc w:val="left"/>
            </w:pPr>
            <w:r>
              <w:rPr>
                <w:rFonts w:ascii="맑은 고딕" w:cs="맑은 고딕" w:eastAsia="맑은 고딕" w:hAnsi="맑은 고딕"/>
                <w:b w:val="false"/>
                <w:bCs w:val="false"/>
                <w:color w:val="FFFFFF"/>
                <w:sz w:val="17"/>
                <w:szCs w:val="17"/>
              </w:rPr>
              <w:t xml:space="preserve">제조 현장 경험, 유료 고객 18개사, 분석시간 절감 사례</w:t>
            </w:r>
          </w:p>
          <w:p>
            <w:pPr>
              <w:spacing w:after="0" w:before="0" w:line="270"/>
              <w:jc w:val="left"/>
            </w:pPr>
            <w:r>
              <w:rPr>
                <w:rFonts w:ascii="맑은 고딕" w:cs="맑은 고딕" w:eastAsia="맑은 고딕" w:hAnsi="맑은 고딕"/>
                <w:b/>
                <w:bCs/>
                <w:color w:val="9CC0FF"/>
                <w:sz w:val="15"/>
                <w:szCs w:val="15"/>
              </w:rPr>
              <w:t xml:space="preserve">대응  </w:t>
            </w:r>
            <w:r>
              <w:rPr>
                <w:rFonts w:ascii="맑은 고딕" w:cs="맑은 고딕" w:eastAsia="맑은 고딕" w:hAnsi="맑은 고딕"/>
                <w:b w:val="false"/>
                <w:bCs w:val="false"/>
                <w:color w:val="FFFFFF"/>
                <w:sz w:val="16"/>
                <w:szCs w:val="16"/>
              </w:rPr>
              <w:t xml:space="preserve">기존 고객 3곳의 동의를 받아 사례 자료를 제작</w:t>
            </w:r>
          </w:p>
        </w:tc>
        <w:tc>
          <w:tcPr>
            <w:tcW w:type="dxa" w:w="4819"/>
            <w:tcBorders>
              <w:top w:val="single" w:color="FFFFFF" w:sz="24"/>
              <w:left w:val="single" w:color="FFFFFF" w:sz="24"/>
              <w:bottom w:val="single" w:color="FFFFFF" w:sz="24"/>
              <w:right w:val="single" w:color="FFFFFF" w:sz="24"/>
            </w:tcBorders>
            <w:shd w:fill="111111" w:color="auto" w:val="clear"/>
            <w:tcMar>
              <w:top w:type="dxa" w:w="160"/>
              <w:left w:type="dxa" w:w="200"/>
              <w:bottom w:type="dxa" w:w="180"/>
              <w:right w:type="dxa" w:w="200"/>
            </w:tcMar>
            <w:vAlign w:val="top"/>
          </w:tcPr>
          <w:p>
            <w:pPr>
              <w:spacing w:after="80" w:before="0" w:line="420"/>
              <w:jc w:val="left"/>
            </w:pPr>
            <w:r>
              <w:rPr>
                <w:rFonts w:ascii="맑은 고딕" w:cs="맑은 고딕" w:eastAsia="맑은 고딕" w:hAnsi="맑은 고딕"/>
                <w:b/>
                <w:bCs/>
                <w:color w:val="FFFFFF"/>
                <w:sz w:val="40"/>
                <w:szCs w:val="40"/>
              </w:rPr>
              <w:t xml:space="preserve">W</w:t>
            </w:r>
            <w:r>
              <w:rPr>
                <w:rFonts w:ascii="맑은 고딕" w:cs="맑은 고딕" w:eastAsia="맑은 고딕" w:hAnsi="맑은 고딕"/>
                <w:b/>
                <w:bCs/>
                <w:color w:val="FFFFFF"/>
                <w:sz w:val="18"/>
                <w:szCs w:val="18"/>
              </w:rPr>
              <w:t xml:space="preserve">  약점</w:t>
            </w:r>
          </w:p>
          <w:p>
            <w:pPr>
              <w:spacing w:after="90" w:before="0" w:line="280"/>
              <w:jc w:val="left"/>
            </w:pPr>
            <w:r>
              <w:rPr>
                <w:rFonts w:ascii="맑은 고딕" w:cs="맑은 고딕" w:eastAsia="맑은 고딕" w:hAnsi="맑은 고딕"/>
                <w:b w:val="false"/>
                <w:bCs w:val="false"/>
                <w:color w:val="FFFFFF"/>
                <w:sz w:val="17"/>
                <w:szCs w:val="17"/>
              </w:rPr>
              <w:t xml:space="preserve">비반복 매출 52.4%, 대표 의존 영업, 고객 집중</w:t>
            </w:r>
          </w:p>
          <w:p>
            <w:pPr>
              <w:spacing w:after="0" w:before="0" w:line="270"/>
              <w:jc w:val="left"/>
            </w:pPr>
            <w:r>
              <w:rPr>
                <w:rFonts w:ascii="맑은 고딕" w:cs="맑은 고딕" w:eastAsia="맑은 고딕" w:hAnsi="맑은 고딕"/>
                <w:b/>
                <w:bCs/>
                <w:color w:val="9CC0FF"/>
                <w:sz w:val="15"/>
                <w:szCs w:val="15"/>
              </w:rPr>
              <w:t xml:space="preserve">대응  </w:t>
            </w:r>
            <w:r>
              <w:rPr>
                <w:rFonts w:ascii="맑은 고딕" w:cs="맑은 고딕" w:eastAsia="맑은 고딕" w:hAnsi="맑은 고딕"/>
                <w:b w:val="false"/>
                <w:bCs w:val="false"/>
                <w:color w:val="FFFFFF"/>
                <w:sz w:val="16"/>
                <w:szCs w:val="16"/>
              </w:rPr>
              <w:t xml:space="preserve">표준 구축 범위와 가격표를 만들고 영업 이관</w:t>
            </w:r>
          </w:p>
        </w:tc>
      </w:tr>
      <w:tr>
        <w:trPr>
          <w:cantSplit/>
        </w:trPr>
        <w:tc>
          <w:tcPr>
            <w:tcW w:type="dxa" w:w="4819"/>
            <w:tcBorders>
              <w:top w:val="single" w:color="FFFFFF" w:sz="24"/>
              <w:left w:val="single" w:color="FFFFFF" w:sz="24"/>
              <w:bottom w:val="single" w:color="FFFFFF" w:sz="24"/>
              <w:right w:val="single" w:color="FFFFFF" w:sz="24"/>
            </w:tcBorders>
            <w:shd w:fill="2F6BFF" w:color="auto" w:val="clear"/>
            <w:tcMar>
              <w:top w:type="dxa" w:w="160"/>
              <w:left w:type="dxa" w:w="200"/>
              <w:bottom w:type="dxa" w:w="180"/>
              <w:right w:type="dxa" w:w="200"/>
            </w:tcMar>
            <w:vAlign w:val="top"/>
          </w:tcPr>
          <w:p>
            <w:pPr>
              <w:spacing w:after="80" w:before="0" w:line="420"/>
              <w:jc w:val="left"/>
            </w:pPr>
            <w:r>
              <w:rPr>
                <w:rFonts w:ascii="맑은 고딕" w:cs="맑은 고딕" w:eastAsia="맑은 고딕" w:hAnsi="맑은 고딕"/>
                <w:b/>
                <w:bCs/>
                <w:color w:val="FFFFFF"/>
                <w:sz w:val="40"/>
                <w:szCs w:val="40"/>
              </w:rPr>
              <w:t xml:space="preserve">O</w:t>
            </w:r>
            <w:r>
              <w:rPr>
                <w:rFonts w:ascii="맑은 고딕" w:cs="맑은 고딕" w:eastAsia="맑은 고딕" w:hAnsi="맑은 고딕"/>
                <w:b/>
                <w:bCs/>
                <w:color w:val="FFFFFF"/>
                <w:sz w:val="18"/>
                <w:szCs w:val="18"/>
              </w:rPr>
              <w:t xml:space="preserve">  기회</w:t>
            </w:r>
          </w:p>
          <w:p>
            <w:pPr>
              <w:spacing w:after="90" w:before="0" w:line="280"/>
              <w:jc w:val="left"/>
            </w:pPr>
            <w:r>
              <w:rPr>
                <w:rFonts w:ascii="맑은 고딕" w:cs="맑은 고딕" w:eastAsia="맑은 고딕" w:hAnsi="맑은 고딕"/>
                <w:b w:val="false"/>
                <w:bCs w:val="false"/>
                <w:color w:val="FFFFFF"/>
                <w:sz w:val="17"/>
                <w:szCs w:val="17"/>
              </w:rPr>
              <w:t xml:space="preserve">유사 공정 기업의 품질 분석 수요가 있다는 가정</w:t>
            </w:r>
          </w:p>
          <w:p>
            <w:pPr>
              <w:spacing w:after="0" w:before="0" w:line="270"/>
              <w:jc w:val="left"/>
            </w:pPr>
            <w:r>
              <w:rPr>
                <w:rFonts w:ascii="맑은 고딕" w:cs="맑은 고딕" w:eastAsia="맑은 고딕" w:hAnsi="맑은 고딕"/>
                <w:b/>
                <w:bCs/>
                <w:color w:val="DCE7FF"/>
                <w:sz w:val="15"/>
                <w:szCs w:val="15"/>
              </w:rPr>
              <w:t xml:space="preserve">대응  </w:t>
            </w:r>
            <w:r>
              <w:rPr>
                <w:rFonts w:ascii="맑은 고딕" w:cs="맑은 고딕" w:eastAsia="맑은 고딕" w:hAnsi="맑은 고딕"/>
                <w:b w:val="false"/>
                <w:bCs w:val="false"/>
                <w:color w:val="FFFFFF"/>
                <w:sz w:val="16"/>
                <w:szCs w:val="16"/>
              </w:rPr>
              <w:t xml:space="preserve">동일 업종 30개사를 대상으로 문제와 예산 검증</w:t>
            </w:r>
          </w:p>
        </w:tc>
        <w:tc>
          <w:tcPr>
            <w:tcW w:type="dxa" w:w="4819"/>
            <w:tcBorders>
              <w:top w:val="single" w:color="FFFFFF" w:sz="24"/>
              <w:left w:val="single" w:color="FFFFFF" w:sz="24"/>
              <w:bottom w:val="single" w:color="FFFFFF" w:sz="24"/>
              <w:right w:val="single" w:color="FFFFFF" w:sz="24"/>
            </w:tcBorders>
            <w:shd w:fill="EAF1FF" w:color="auto" w:val="clear"/>
            <w:tcMar>
              <w:top w:type="dxa" w:w="160"/>
              <w:left w:type="dxa" w:w="200"/>
              <w:bottom w:type="dxa" w:w="180"/>
              <w:right w:type="dxa" w:w="200"/>
            </w:tcMar>
            <w:vAlign w:val="top"/>
          </w:tcPr>
          <w:p>
            <w:pPr>
              <w:spacing w:after="80" w:before="0" w:line="420"/>
              <w:jc w:val="left"/>
            </w:pPr>
            <w:r>
              <w:rPr>
                <w:rFonts w:ascii="맑은 고딕" w:cs="맑은 고딕" w:eastAsia="맑은 고딕" w:hAnsi="맑은 고딕"/>
                <w:b/>
                <w:bCs/>
                <w:color w:val="0B1F4B"/>
                <w:sz w:val="40"/>
                <w:szCs w:val="40"/>
              </w:rPr>
              <w:t xml:space="preserve">T</w:t>
            </w:r>
            <w:r>
              <w:rPr>
                <w:rFonts w:ascii="맑은 고딕" w:cs="맑은 고딕" w:eastAsia="맑은 고딕" w:hAnsi="맑은 고딕"/>
                <w:b/>
                <w:bCs/>
                <w:color w:val="0B1F4B"/>
                <w:sz w:val="18"/>
                <w:szCs w:val="18"/>
              </w:rPr>
              <w:t xml:space="preserve">  위협</w:t>
            </w:r>
          </w:p>
          <w:p>
            <w:pPr>
              <w:spacing w:after="90" w:before="0" w:line="280"/>
              <w:jc w:val="left"/>
            </w:pPr>
            <w:r>
              <w:rPr>
                <w:rFonts w:ascii="맑은 고딕" w:cs="맑은 고딕" w:eastAsia="맑은 고딕" w:hAnsi="맑은 고딕"/>
                <w:b w:val="false"/>
                <w:bCs w:val="false"/>
                <w:color w:val="0B1F4B"/>
                <w:sz w:val="17"/>
                <w:szCs w:val="17"/>
              </w:rPr>
              <w:t xml:space="preserve">기존 솔루션의 기능 확장, 고객 예산 축소 가능성</w:t>
            </w:r>
          </w:p>
          <w:p>
            <w:pPr>
              <w:spacing w:after="0" w:before="0" w:line="270"/>
              <w:jc w:val="left"/>
            </w:pPr>
            <w:r>
              <w:rPr>
                <w:rFonts w:ascii="맑은 고딕" w:cs="맑은 고딕" w:eastAsia="맑은 고딕" w:hAnsi="맑은 고딕"/>
                <w:b/>
                <w:bCs/>
                <w:color w:val="2F6BFF"/>
                <w:sz w:val="15"/>
                <w:szCs w:val="15"/>
              </w:rPr>
              <w:t xml:space="preserve">대응  </w:t>
            </w:r>
            <w:r>
              <w:rPr>
                <w:rFonts w:ascii="맑은 고딕" w:cs="맑은 고딕" w:eastAsia="맑은 고딕" w:hAnsi="맑은 고딕"/>
                <w:b w:val="false"/>
                <w:bCs w:val="false"/>
                <w:color w:val="0B1F4B"/>
                <w:sz w:val="16"/>
                <w:szCs w:val="16"/>
              </w:rPr>
              <w:t xml:space="preserve">소규모 유료 실증과 회수기간 자료로 도입 부담 완화</w:t>
            </w:r>
          </w:p>
        </w:tc>
      </w:tr>
    </w:tbl>
    <w:p>
      <w:pPr>
        <w:spacing w:after="160" w:before="0" w:line="120"/>
      </w:pPr>
    </w:p>
    <w:p>
      <w:pPr>
        <w:keepNext/>
        <w:keepLines/>
        <w:spacing w:after="70" w:before="120" w:line="260"/>
        <w:jc w:val="left"/>
      </w:pPr>
      <w:r>
        <w:rPr>
          <w:rFonts w:ascii="맑은 고딕" w:cs="맑은 고딕" w:eastAsia="맑은 고딕" w:hAnsi="맑은 고딕"/>
          <w:b/>
          <w:bCs/>
          <w:color w:val="2F6BFF"/>
          <w:sz w:val="16"/>
          <w:szCs w:val="16"/>
        </w:rPr>
        <w:t xml:space="preserve">표 04-2  </w:t>
      </w:r>
      <w:r>
        <w:rPr>
          <w:rFonts w:ascii="맑은 고딕" w:cs="맑은 고딕" w:eastAsia="맑은 고딕" w:hAnsi="맑은 고딕"/>
          <w:b/>
          <w:bCs/>
          <w:color w:val="111111"/>
          <w:sz w:val="16"/>
          <w:szCs w:val="16"/>
        </w:rPr>
        <w:t xml:space="preserve">교차 전략 (TOWS)</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2008"/>
        <w:gridCol w:w="7630"/>
      </w:tblGrid>
      <w:tr>
        <w:trPr>
          <w:cantSplit/>
          <w:tblHeader/>
        </w:trPr>
        <w:tc>
          <w:tcPr>
            <w:tcW w:type="dxa" w:w="2008"/>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전략</w:t>
            </w:r>
          </w:p>
        </w:tc>
        <w:tc>
          <w:tcPr>
            <w:tcW w:type="dxa" w:w="7630"/>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실행 방향</w:t>
            </w:r>
          </w:p>
        </w:tc>
      </w:tr>
      <w:tr>
        <w:trPr>
          <w:cantSplit/>
        </w:trPr>
        <w:tc>
          <w:tcPr>
            <w:tcW w:type="dxa" w:w="2008"/>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SO 전략</w:t>
            </w:r>
          </w:p>
        </w:tc>
        <w:tc>
          <w:tcPr>
            <w:tcW w:type="dxa" w:w="763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현장 사례로 동일 업종 고객을 확보한다</w:t>
            </w:r>
          </w:p>
        </w:tc>
      </w:tr>
      <w:tr>
        <w:trPr>
          <w:cantSplit/>
        </w:trPr>
        <w:tc>
          <w:tcPr>
            <w:tcW w:type="dxa" w:w="2008"/>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ST 전략</w:t>
            </w:r>
          </w:p>
        </w:tc>
        <w:tc>
          <w:tcPr>
            <w:tcW w:type="dxa" w:w="763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짧은 도입기간과 고객별 효과 측정으로 경쟁을 방어한다</w:t>
            </w:r>
          </w:p>
        </w:tc>
      </w:tr>
      <w:tr>
        <w:trPr>
          <w:cantSplit/>
        </w:trPr>
        <w:tc>
          <w:tcPr>
            <w:tcW w:type="dxa" w:w="2008"/>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WO 전략</w:t>
            </w:r>
          </w:p>
        </w:tc>
        <w:tc>
          <w:tcPr>
            <w:tcW w:type="dxa" w:w="763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파트너 실증을 표준 상품으로 전환한다</w:t>
            </w:r>
          </w:p>
        </w:tc>
      </w:tr>
      <w:tr>
        <w:trPr>
          <w:cantSplit/>
        </w:trPr>
        <w:tc>
          <w:tcPr>
            <w:tcW w:type="dxa" w:w="2008"/>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WT 전략</w:t>
            </w:r>
          </w:p>
        </w:tc>
        <w:tc>
          <w:tcPr>
            <w:tcW w:type="dxa" w:w="763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고객별 추가 개발의 한도와 착수금 조건을 정한다</w:t>
            </w:r>
          </w:p>
        </w:tc>
      </w:tr>
    </w:tbl>
    <w:p>
      <w:pPr>
        <w:spacing w:after="160" w:before="0" w:line="120"/>
      </w:pP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STP로 우선 시장을 좁히기</w:t>
      </w:r>
    </w:p>
    <w:p>
      <w:pPr>
        <w:keepNext/>
        <w:keepLines/>
        <w:spacing w:after="70" w:before="120" w:line="260"/>
        <w:jc w:val="left"/>
      </w:pPr>
      <w:r>
        <w:rPr>
          <w:rFonts w:ascii="맑은 고딕" w:cs="맑은 고딕" w:eastAsia="맑은 고딕" w:hAnsi="맑은 고딕"/>
          <w:b/>
          <w:bCs/>
          <w:color w:val="2F6BFF"/>
          <w:sz w:val="16"/>
          <w:szCs w:val="16"/>
        </w:rPr>
        <w:t xml:space="preserve">그림 04-1  </w:t>
      </w:r>
      <w:r>
        <w:rPr>
          <w:rFonts w:ascii="맑은 고딕" w:cs="맑은 고딕" w:eastAsia="맑은 고딕" w:hAnsi="맑은 고딕"/>
          <w:b/>
          <w:bCs/>
          <w:color w:val="111111"/>
          <w:sz w:val="16"/>
          <w:szCs w:val="16"/>
        </w:rPr>
        <w:t xml:space="preserve">STP 전개</w:t>
      </w:r>
    </w:p>
    <w:p>
      <w:pPr>
        <w:keepNext/>
        <w:spacing w:after="0" w:before="60"/>
        <w:jc w:val="center"/>
      </w:pPr>
      <w:r>
        <w:drawing>
          <wp:inline distT="0" distB="0" distL="0" distR="0">
            <wp:extent cx="6124575" cy="102870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124575" cy="1028700"/>
                    </a:xfrm>
                    <a:prstGeom prst="rect">
                      <a:avLst/>
                    </a:prstGeom>
                  </pic:spPr>
                </pic:pic>
              </a:graphicData>
            </a:graphic>
          </wp:inline>
        </w:drawing>
      </w:r>
    </w:p>
    <w:p>
      <w:pPr>
        <w:keepLines/>
        <w:spacing w:after="180" w:before="50" w:line="240"/>
        <w:jc w:val="left"/>
      </w:pPr>
      <w:r>
        <w:rPr>
          <w:rFonts w:ascii="맑은 고딕" w:cs="맑은 고딕" w:eastAsia="맑은 고딕" w:hAnsi="맑은 고딕"/>
          <w:color w:val="9AA3AF"/>
          <w:sz w:val="14"/>
          <w:szCs w:val="14"/>
        </w:rPr>
        <w:t xml:space="preserve">자료: 한결팩토리 제출 자료(가상), ㈜포항연합기술지주 분석</w:t>
      </w:r>
    </w:p>
    <w:p>
      <w:pPr>
        <w:keepLines/>
        <w:spacing w:after="130" w:before="0" w:line="320"/>
        <w:jc w:val="both"/>
      </w:pPr>
      <w:r>
        <w:rPr>
          <w:rFonts w:ascii="맑은 고딕" w:cs="맑은 고딕" w:eastAsia="맑은 고딕" w:hAnsi="맑은 고딕"/>
          <w:b w:val="false"/>
          <w:bCs w:val="false"/>
          <w:color w:val="262A33"/>
          <w:sz w:val="19"/>
          <w:szCs w:val="19"/>
        </w:rPr>
        <w:t xml:space="preserve">시장 세분화는 업종, 사업장 규모, 데이터 준비 수준, 품질 인력 유무로 한다. 1차 목표는 수도권 소재 금속가공, 산업부품 기업 중 직원 30~200명, 검사 데이터 보유, 품질 담당자 1명 이상인 사업장이다. 기존 제품과 데이터 구조가 비슷해 구축 부담을 줄일 수 있다는 가설을 먼저 검증한다.</w:t>
      </w:r>
    </w:p>
    <w:tbl>
      <w:tblPr>
        <w:tblW w:type="dxa" w:w="9638"/>
        <w:tblBorders>
          <w:top w:val="none" w:color="FFFFFF" w:sz="0"/>
          <w:left w:val="single" w:color="2F6BFF" w:sz="30"/>
          <w:bottom w:val="none" w:color="FFFFFF" w:sz="0"/>
          <w:right w:val="none" w:color="FFFFFF" w:sz="0"/>
          <w:insideH w:val="none" w:color="FFFFFF" w:sz="0"/>
          <w:insideV w:val="none" w:color="FFFFFF" w:sz="0"/>
        </w:tblBorders>
      </w:tblPr>
      <w:tblGrid>
        <w:gridCol w:w="9638"/>
      </w:tblGrid>
      <w:tr>
        <w:trPr>
          <w:cantSplit/>
        </w:trPr>
        <w:tc>
          <w:tcPr>
            <w:tcW w:type="dxa" w:w="9638"/>
            <w:shd w:fill="EAF1FF" w:color="auto" w:val="clear"/>
            <w:tcMar>
              <w:top w:type="dxa" w:w="150"/>
              <w:left w:type="dxa" w:w="240"/>
              <w:bottom w:type="dxa" w:w="150"/>
              <w:right w:type="dxa" w:w="200"/>
            </w:tcMar>
            <w:vAlign w:val="center"/>
          </w:tcPr>
          <w:p>
            <w:pPr>
              <w:spacing w:after="50" w:before="0" w:line="264"/>
              <w:jc w:val="left"/>
            </w:pPr>
            <w:r>
              <w:rPr>
                <w:rFonts w:ascii="맑은 고딕" w:cs="맑은 고딕" w:eastAsia="맑은 고딕" w:hAnsi="맑은 고딕"/>
                <w:b/>
                <w:bCs/>
                <w:color w:val="2F6BFF"/>
                <w:spacing w:val="20"/>
                <w:sz w:val="16"/>
                <w:szCs w:val="16"/>
              </w:rPr>
              <w:t xml:space="preserve">포지셔닝 문장</w:t>
            </w:r>
          </w:p>
          <w:p>
            <w:pPr>
              <w:spacing w:after="0" w:before="0" w:line="300"/>
              <w:jc w:val="left"/>
            </w:pPr>
            <w:r>
              <w:rPr>
                <w:rFonts w:ascii="맑은 고딕" w:cs="맑은 고딕" w:eastAsia="맑은 고딕" w:hAnsi="맑은 고딕"/>
                <w:b/>
                <w:bCs/>
                <w:color w:val="0B1F4B"/>
                <w:sz w:val="21"/>
                <w:szCs w:val="21"/>
              </w:rPr>
              <w:t xml:space="preserve">팩토리뷰는 중소 제조기업의 품질 담당자가 기존 설비를 유지하면서 불량 원인을 더 빨리 찾도록 돕는 품질 분석 소프트웨어다.</w:t>
            </w:r>
          </w:p>
        </w:tc>
      </w:tr>
    </w:tbl>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4MAT으로 전달할 고객 메시지</w:t>
      </w:r>
    </w:p>
    <w:p>
      <w:pPr>
        <w:keepNext/>
        <w:keepLines/>
        <w:spacing w:after="70" w:before="120" w:line="260"/>
        <w:jc w:val="left"/>
      </w:pPr>
      <w:r>
        <w:rPr>
          <w:rFonts w:ascii="맑은 고딕" w:cs="맑은 고딕" w:eastAsia="맑은 고딕" w:hAnsi="맑은 고딕"/>
          <w:b/>
          <w:bCs/>
          <w:color w:val="2F6BFF"/>
          <w:sz w:val="16"/>
          <w:szCs w:val="16"/>
        </w:rPr>
        <w:t xml:space="preserve">표 04-3  </w:t>
      </w:r>
      <w:r>
        <w:rPr>
          <w:rFonts w:ascii="맑은 고딕" w:cs="맑은 고딕" w:eastAsia="맑은 고딕" w:hAnsi="맑은 고딕"/>
          <w:b/>
          <w:bCs/>
          <w:color w:val="111111"/>
          <w:sz w:val="16"/>
          <w:szCs w:val="16"/>
        </w:rPr>
        <w:t xml:space="preserve">4MAT 메시지 구조</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1606"/>
        <w:gridCol w:w="8032"/>
      </w:tblGrid>
      <w:tr>
        <w:trPr>
          <w:cantSplit/>
          <w:tblHeader/>
        </w:trPr>
        <w:tc>
          <w:tcPr>
            <w:tcW w:type="dxa" w:w="1606"/>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단계</w:t>
            </w:r>
          </w:p>
        </w:tc>
        <w:tc>
          <w:tcPr>
            <w:tcW w:type="dxa" w:w="8032"/>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고객에게 전달할 내용</w:t>
            </w:r>
          </w:p>
        </w:tc>
      </w:tr>
      <w:tr>
        <w:trPr>
          <w:cantSplit/>
        </w:trPr>
        <w:tc>
          <w:tcPr>
            <w:tcW w:type="dxa" w:w="1606"/>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Why</w:t>
            </w:r>
          </w:p>
        </w:tc>
        <w:tc>
          <w:tcPr>
            <w:tcW w:type="dxa" w:w="8032"/>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주간 보고서 집계에 쓰는 시간을 줄이고 개선 활동에 집중하세요.</w:t>
            </w:r>
          </w:p>
        </w:tc>
      </w:tr>
      <w:tr>
        <w:trPr>
          <w:cantSplit/>
        </w:trPr>
        <w:tc>
          <w:tcPr>
            <w:tcW w:type="dxa" w:w="1606"/>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What</w:t>
            </w:r>
          </w:p>
        </w:tc>
        <w:tc>
          <w:tcPr>
            <w:tcW w:type="dxa" w:w="8032"/>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생산, 검사 데이터를 연결해 불량 추세와 확인할 원인을 보여줍니다.</w:t>
            </w:r>
          </w:p>
        </w:tc>
      </w:tr>
      <w:tr>
        <w:trPr>
          <w:cantSplit/>
        </w:trPr>
        <w:tc>
          <w:tcPr>
            <w:tcW w:type="dxa" w:w="1606"/>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How</w:t>
            </w:r>
          </w:p>
        </w:tc>
        <w:tc>
          <w:tcPr>
            <w:tcW w:type="dxa" w:w="8032"/>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샘플 데이터 진단 후 한 개 공정에서 유료 실증하고 범위를 확장합니다.</w:t>
            </w:r>
          </w:p>
        </w:tc>
      </w:tr>
      <w:tr>
        <w:trPr>
          <w:cantSplit/>
        </w:trPr>
        <w:tc>
          <w:tcPr>
            <w:tcW w:type="dxa" w:w="1606"/>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What if</w:t>
            </w:r>
          </w:p>
        </w:tc>
        <w:tc>
          <w:tcPr>
            <w:tcW w:type="dxa" w:w="8032"/>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분석시간과 불량률을 도입 전후로 측정하고 확대 여부를 결정합니다.</w:t>
            </w:r>
          </w:p>
        </w:tc>
      </w:tr>
    </w:tbl>
    <w:p>
      <w:pPr>
        <w:spacing w:after="160" w:before="0" w:line="120"/>
      </w:pP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핵심 경쟁력과 검증 한계</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12"/>
        <w:gridCol w:w="3212"/>
        <w:gridCol w:w="3214"/>
      </w:tblGrid>
      <w:tr>
        <w:trPr>
          <w:cantSplit/>
        </w:trPr>
        <w:tc>
          <w:tcPr>
            <w:tcW w:type="dxa" w:w="3212"/>
            <w:tcBorders>
              <w:top w:val="single" w:color="111111" w:sz="18"/>
              <w:left w:val="single" w:color="FFFFFF" w:sz="30"/>
              <w:bottom w:val="single" w:color="D5DBE5" w:sz="4"/>
              <w:right w:val="single" w:color="FFFFFF" w:sz="30"/>
            </w:tcBorders>
            <w:shd w:fill="FFFFFF" w:color="auto" w:val="clear"/>
            <w:tcMar>
              <w:top w:type="dxa" w:w="120"/>
              <w:left w:type="dxa" w:w="140"/>
              <w:bottom w:type="dxa" w:w="140"/>
              <w:right w:type="dxa" w:w="140"/>
            </w:tcMar>
            <w:vAlign w:val="top"/>
          </w:tcPr>
          <w:p>
            <w:pPr>
              <w:spacing w:after="40" w:before="0" w:line="340"/>
              <w:jc w:val="left"/>
            </w:pPr>
            <w:r>
              <w:rPr>
                <w:rFonts w:ascii="맑은 고딕" w:cs="맑은 고딕" w:eastAsia="맑은 고딕" w:hAnsi="맑은 고딕"/>
                <w:b/>
                <w:bCs/>
                <w:color w:val="2F6BFF"/>
                <w:sz w:val="30"/>
                <w:szCs w:val="30"/>
              </w:rPr>
              <w:t xml:space="preserve">01</w:t>
            </w:r>
          </w:p>
          <w:p>
            <w:pPr>
              <w:spacing w:after="70" w:before="0" w:line="264"/>
              <w:jc w:val="left"/>
            </w:pPr>
            <w:r>
              <w:rPr>
                <w:rFonts w:ascii="맑은 고딕" w:cs="맑은 고딕" w:eastAsia="맑은 고딕" w:hAnsi="맑은 고딕"/>
                <w:b/>
                <w:bCs/>
                <w:color w:val="111111"/>
                <w:sz w:val="19"/>
                <w:szCs w:val="19"/>
              </w:rPr>
              <w:t xml:space="preserve">현장형 팀</w:t>
            </w:r>
          </w:p>
          <w:p>
            <w:pPr>
              <w:spacing w:after="0" w:before="0" w:line="270"/>
              <w:jc w:val="left"/>
            </w:pPr>
            <w:r>
              <w:rPr>
                <w:rFonts w:ascii="맑은 고딕" w:cs="맑은 고딕" w:eastAsia="맑은 고딕" w:hAnsi="맑은 고딕"/>
                <w:b w:val="false"/>
                <w:bCs w:val="false"/>
                <w:color w:val="262A33"/>
                <w:sz w:val="16"/>
                <w:szCs w:val="16"/>
              </w:rPr>
              <w:t xml:space="preserve">제조 현장 경험을 가진 팀</w:t>
            </w:r>
          </w:p>
        </w:tc>
        <w:tc>
          <w:tcPr>
            <w:tcW w:type="dxa" w:w="3212"/>
            <w:tcBorders>
              <w:top w:val="single" w:color="111111" w:sz="18"/>
              <w:left w:val="single" w:color="FFFFFF" w:sz="30"/>
              <w:bottom w:val="single" w:color="D5DBE5" w:sz="4"/>
              <w:right w:val="single" w:color="FFFFFF" w:sz="30"/>
            </w:tcBorders>
            <w:shd w:fill="FFFFFF" w:color="auto" w:val="clear"/>
            <w:tcMar>
              <w:top w:type="dxa" w:w="120"/>
              <w:left w:type="dxa" w:w="140"/>
              <w:bottom w:type="dxa" w:w="140"/>
              <w:right w:type="dxa" w:w="140"/>
            </w:tcMar>
            <w:vAlign w:val="top"/>
          </w:tcPr>
          <w:p>
            <w:pPr>
              <w:spacing w:after="40" w:before="0" w:line="340"/>
              <w:jc w:val="left"/>
            </w:pPr>
            <w:r>
              <w:rPr>
                <w:rFonts w:ascii="맑은 고딕" w:cs="맑은 고딕" w:eastAsia="맑은 고딕" w:hAnsi="맑은 고딕"/>
                <w:b/>
                <w:bCs/>
                <w:color w:val="2F6BFF"/>
                <w:sz w:val="30"/>
                <w:szCs w:val="30"/>
              </w:rPr>
              <w:t xml:space="preserve">02</w:t>
            </w:r>
          </w:p>
          <w:p>
            <w:pPr>
              <w:spacing w:after="70" w:before="0" w:line="264"/>
              <w:jc w:val="left"/>
            </w:pPr>
            <w:r>
              <w:rPr>
                <w:rFonts w:ascii="맑은 고딕" w:cs="맑은 고딕" w:eastAsia="맑은 고딕" w:hAnsi="맑은 고딕"/>
                <w:b/>
                <w:bCs/>
                <w:color w:val="111111"/>
                <w:sz w:val="19"/>
                <w:szCs w:val="19"/>
              </w:rPr>
              <w:t xml:space="preserve">데이터 연결 모듈</w:t>
            </w:r>
          </w:p>
          <w:p>
            <w:pPr>
              <w:spacing w:after="0" w:before="0" w:line="270"/>
              <w:jc w:val="left"/>
            </w:pPr>
            <w:r>
              <w:rPr>
                <w:rFonts w:ascii="맑은 고딕" w:cs="맑은 고딕" w:eastAsia="맑은 고딕" w:hAnsi="맑은 고딕"/>
                <w:b w:val="false"/>
                <w:bCs w:val="false"/>
                <w:color w:val="262A33"/>
                <w:sz w:val="16"/>
                <w:szCs w:val="16"/>
              </w:rPr>
              <w:t xml:space="preserve">반복 적용할 수 있는 데이터 연결 모듈</w:t>
            </w:r>
          </w:p>
        </w:tc>
        <w:tc>
          <w:tcPr>
            <w:tcW w:type="dxa" w:w="3214"/>
            <w:tcBorders>
              <w:top w:val="single" w:color="111111" w:sz="18"/>
              <w:left w:val="single" w:color="FFFFFF" w:sz="30"/>
              <w:bottom w:val="single" w:color="D5DBE5" w:sz="4"/>
              <w:right w:val="single" w:color="FFFFFF" w:sz="30"/>
            </w:tcBorders>
            <w:shd w:fill="FFFFFF" w:color="auto" w:val="clear"/>
            <w:tcMar>
              <w:top w:type="dxa" w:w="120"/>
              <w:left w:type="dxa" w:w="140"/>
              <w:bottom w:type="dxa" w:w="140"/>
              <w:right w:type="dxa" w:w="140"/>
            </w:tcMar>
            <w:vAlign w:val="top"/>
          </w:tcPr>
          <w:p>
            <w:pPr>
              <w:spacing w:after="40" w:before="0" w:line="340"/>
              <w:jc w:val="left"/>
            </w:pPr>
            <w:r>
              <w:rPr>
                <w:rFonts w:ascii="맑은 고딕" w:cs="맑은 고딕" w:eastAsia="맑은 고딕" w:hAnsi="맑은 고딕"/>
                <w:b/>
                <w:bCs/>
                <w:color w:val="2F6BFF"/>
                <w:sz w:val="30"/>
                <w:szCs w:val="30"/>
              </w:rPr>
              <w:t xml:space="preserve">03</w:t>
            </w:r>
          </w:p>
          <w:p>
            <w:pPr>
              <w:spacing w:after="70" w:before="0" w:line="264"/>
              <w:jc w:val="left"/>
            </w:pPr>
            <w:r>
              <w:rPr>
                <w:rFonts w:ascii="맑은 고딕" w:cs="맑은 고딕" w:eastAsia="맑은 고딕" w:hAnsi="맑은 고딕"/>
                <w:b/>
                <w:bCs/>
                <w:color w:val="111111"/>
                <w:sz w:val="19"/>
                <w:szCs w:val="19"/>
              </w:rPr>
              <w:t xml:space="preserve">도입 경험</w:t>
            </w:r>
          </w:p>
          <w:p>
            <w:pPr>
              <w:spacing w:after="0" w:before="0" w:line="270"/>
              <w:jc w:val="left"/>
            </w:pPr>
            <w:r>
              <w:rPr>
                <w:rFonts w:ascii="맑은 고딕" w:cs="맑은 고딕" w:eastAsia="맑은 고딕" w:hAnsi="맑은 고딕"/>
                <w:b w:val="false"/>
                <w:bCs w:val="false"/>
                <w:color w:val="262A33"/>
                <w:sz w:val="16"/>
                <w:szCs w:val="16"/>
              </w:rPr>
              <w:t xml:space="preserve">고객별 도입 경험</w:t>
            </w:r>
          </w:p>
        </w:tc>
      </w:tr>
    </w:tbl>
    <w:p>
      <w:pPr>
        <w:spacing w:after="100" w:before="0" w:line="120"/>
      </w:pPr>
    </w:p>
    <w:p>
      <w:pPr>
        <w:keepLines/>
        <w:spacing w:after="130" w:before="0" w:line="320"/>
        <w:jc w:val="both"/>
      </w:pPr>
      <w:r>
        <w:rPr>
          <w:rFonts w:ascii="맑은 고딕" w:cs="맑은 고딕" w:eastAsia="맑은 고딕" w:hAnsi="맑은 고딕"/>
          <w:b w:val="false"/>
          <w:bCs w:val="false"/>
          <w:color w:val="262A33"/>
          <w:sz w:val="19"/>
          <w:szCs w:val="19"/>
        </w:rPr>
        <w:t xml:space="preserve">다만 경력과 고객 수만으로 진입장벽이 입증되지는 않는다. </w:t>
      </w:r>
      <w:r>
        <w:rPr>
          <w:rFonts w:ascii="맑은 고딕" w:cs="맑은 고딕" w:eastAsia="맑은 고딕" w:hAnsi="맑은 고딕"/>
          <w:b/>
          <w:bCs/>
          <w:color w:val="111111"/>
          <w:sz w:val="19"/>
          <w:szCs w:val="19"/>
        </w:rPr>
        <w:t xml:space="preserve">모듈 재사용률, 고객 유지율, 구축기간 단축</w:t>
      </w:r>
      <w:r>
        <w:rPr>
          <w:rFonts w:ascii="맑은 고딕" w:cs="맑은 고딕" w:eastAsia="맑은 고딕" w:hAnsi="맑은 고딕"/>
          <w:b w:val="false"/>
          <w:bCs w:val="false"/>
          <w:color w:val="262A33"/>
          <w:sz w:val="19"/>
          <w:szCs w:val="19"/>
        </w:rPr>
        <w:t xml:space="preserve">을 추가 측정해야 지속 가능한 경쟁력으로 설명할 수 있다.</w:t>
      </w:r>
    </w:p>
    <w:p>
      <w:pPr>
        <w:keepNext/>
        <w:keepLines/>
        <w:spacing w:after="40" w:before="520" w:line="320"/>
        <w:jc w:val="left"/>
      </w:pPr>
      <w:r>
        <w:rPr>
          <w:rFonts w:ascii="맑은 고딕" w:cs="맑은 고딕" w:eastAsia="맑은 고딕" w:hAnsi="맑은 고딕"/>
          <w:b/>
          <w:bCs/>
          <w:color w:val="2F6BFF"/>
          <w:spacing w:val="60"/>
          <w:sz w:val="15"/>
          <w:szCs w:val="15"/>
        </w:rPr>
        <w:t xml:space="preserve">FUNDING PLAN</w:t>
      </w:r>
    </w:p>
    <w:p>
      <w:pPr>
        <w:pStyle w:val="Heading1"/>
        <w:keepNext/>
        <w:pBdr>
          <w:bottom w:val="single" w:color="111111" w:sz="14"/>
        </w:pBdr>
        <w:spacing w:after="260" w:before="0" w:line="300"/>
      </w:pPr>
      <w:r>
        <w:rPr>
          <w:rFonts w:ascii="맑은 고딕" w:cs="맑은 고딕" w:eastAsia="맑은 고딕" w:hAnsi="맑은 고딕"/>
          <w:b/>
          <w:bCs/>
          <w:color w:val="2F6BFF"/>
          <w:sz w:val="40"/>
          <w:szCs w:val="40"/>
        </w:rPr>
        <w:t xml:space="preserve">05  </w:t>
      </w:r>
      <w:r>
        <w:rPr>
          <w:rFonts w:ascii="맑은 고딕" w:cs="맑은 고딕" w:eastAsia="맑은 고딕" w:hAnsi="맑은 고딕"/>
          <w:b/>
          <w:bCs/>
          <w:color w:val="111111"/>
          <w:sz w:val="34"/>
          <w:szCs w:val="34"/>
        </w:rPr>
        <w:t xml:space="preserve">투자와 정부지원사업 계획</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투자 현황과 희망 조건</w:t>
      </w:r>
    </w:p>
    <w:p>
      <w:pPr>
        <w:keepNext/>
        <w:keepLines/>
        <w:spacing w:after="70" w:before="120" w:line="260"/>
        <w:jc w:val="left"/>
      </w:pPr>
      <w:r>
        <w:rPr>
          <w:rFonts w:ascii="맑은 고딕" w:cs="맑은 고딕" w:eastAsia="맑은 고딕" w:hAnsi="맑은 고딕"/>
          <w:b/>
          <w:bCs/>
          <w:color w:val="2F6BFF"/>
          <w:sz w:val="16"/>
          <w:szCs w:val="16"/>
        </w:rPr>
        <w:t xml:space="preserve">표 05-1  </w:t>
      </w:r>
      <w:r>
        <w:rPr>
          <w:rFonts w:ascii="맑은 고딕" w:cs="맑은 고딕" w:eastAsia="맑은 고딕" w:hAnsi="맑은 고딕"/>
          <w:b/>
          <w:bCs/>
          <w:color w:val="111111"/>
          <w:sz w:val="16"/>
          <w:szCs w:val="16"/>
        </w:rPr>
        <w:t xml:space="preserve">투자 이력과 희망 조건</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2209"/>
        <w:gridCol w:w="7429"/>
      </w:tblGrid>
      <w:tr>
        <w:trPr>
          <w:cantSplit/>
          <w:tblHeader/>
        </w:trPr>
        <w:tc>
          <w:tcPr>
            <w:tcW w:type="dxa" w:w="2209"/>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항목</w:t>
            </w:r>
          </w:p>
        </w:tc>
        <w:tc>
          <w:tcPr>
            <w:tcW w:type="dxa" w:w="7429"/>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가상 내용</w:t>
            </w:r>
          </w:p>
        </w:tc>
      </w:tr>
      <w:tr>
        <w:trPr>
          <w:cantSplit/>
        </w:trPr>
        <w:tc>
          <w:tcPr>
            <w:tcW w:type="dxa" w:w="2209"/>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기존 투자</w:t>
            </w:r>
          </w:p>
        </w:tc>
        <w:tc>
          <w:tcPr>
            <w:tcW w:type="dxa" w:w="7429"/>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2025년 3월 시드 500 / 보통주 / 투자 후 기업가치 2,500</w:t>
            </w:r>
          </w:p>
        </w:tc>
      </w:tr>
      <w:tr>
        <w:trPr>
          <w:cantSplit/>
        </w:trPr>
        <w:tc>
          <w:tcPr>
            <w:tcW w:type="dxa" w:w="2209"/>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희망 라운드</w:t>
            </w:r>
          </w:p>
        </w:tc>
        <w:tc>
          <w:tcPr>
            <w:tcW w:type="dxa" w:w="7429"/>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Pre-A 1,500 / 투자 전 희망 기업가치 6,000 / 2027년 3월 목표</w:t>
            </w:r>
          </w:p>
        </w:tc>
      </w:tr>
      <w:tr>
        <w:trPr>
          <w:cantSplit/>
        </w:trPr>
        <w:tc>
          <w:tcPr>
            <w:tcW w:type="dxa" w:w="2209"/>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희망 방식과 협의</w:t>
            </w:r>
          </w:p>
        </w:tc>
        <w:tc>
          <w:tcPr>
            <w:tcW w:type="dxa" w:w="7429"/>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보통주 우선 협의 / 현재 확정 투자자 없음</w:t>
            </w:r>
          </w:p>
        </w:tc>
      </w:tr>
      <w:tr>
        <w:trPr>
          <w:cantSplit/>
        </w:trPr>
        <w:tc>
          <w:tcPr>
            <w:tcW w:type="dxa" w:w="2209"/>
            <w:shd w:fill="F0F3F8"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후속 라운드</w:t>
            </w:r>
          </w:p>
        </w:tc>
        <w:tc>
          <w:tcPr>
            <w:tcW w:type="dxa" w:w="7429"/>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2028년 상반기 검토 / 금액은 반복매출과 유지율 검증 후 결정</w:t>
            </w:r>
          </w:p>
        </w:tc>
      </w:tr>
    </w:tbl>
    <w:p>
      <w:pPr>
        <w:spacing w:after="120" w:before="0" w:line="120"/>
      </w:pPr>
    </w:p>
    <w:p>
      <w:pPr>
        <w:keepLines/>
        <w:spacing w:after="130" w:before="0" w:line="320"/>
        <w:jc w:val="both"/>
      </w:pPr>
      <w:r>
        <w:rPr>
          <w:rFonts w:ascii="맑은 고딕" w:cs="맑은 고딕" w:eastAsia="맑은 고딕" w:hAnsi="맑은 고딕"/>
          <w:b w:val="false"/>
          <w:bCs w:val="false"/>
          <w:color w:val="262A33"/>
          <w:sz w:val="19"/>
          <w:szCs w:val="19"/>
        </w:rPr>
        <w:t xml:space="preserve">희망 조건대로 신규 주식을 발행하면 투자 후 기업가치 7,500, 신규 투자자 지분율 20.0%가 된다. 기존 지분은 대표 48%, 공동창업자 16%, 시드펀드 16%로 조정된다. 이는 스톡옵션, 전환증권, 거래비용이 없는 단순 계산이며 희망 기업가치의 적정성을 평가한 결과는 아니다.</w:t>
      </w:r>
    </w:p>
    <w:tbl>
      <w:tblPr>
        <w:tblW w:type="dxa" w:w="9638"/>
        <w:tblBorders>
          <w:top w:val="single" w:color="D5DBE5" w:sz="4"/>
          <w:left w:val="none" w:color="FFFFFF" w:sz="0"/>
          <w:bottom w:val="single" w:color="D5DBE5" w:sz="4"/>
          <w:right w:val="none" w:color="FFFFFF" w:sz="0"/>
          <w:insideH w:val="none" w:color="FFFFFF" w:sz="0"/>
          <w:insideV w:val="single" w:color="D5DBE5" w:sz="4"/>
        </w:tblBorders>
      </w:tblPr>
      <w:tblGrid>
        <w:gridCol w:w="4819"/>
        <w:gridCol w:w="4819"/>
      </w:tblGrid>
      <w:tr>
        <w:trPr>
          <w:cantSplit/>
        </w:trPr>
        <w:tc>
          <w:tcPr>
            <w:tcW w:type="dxa" w:w="4819"/>
            <w:tcMar>
              <w:top w:type="dxa" w:w="140"/>
              <w:left w:type="dxa" w:w="110"/>
              <w:bottom w:type="dxa" w:w="120"/>
              <w:right w:type="dxa" w:w="110"/>
            </w:tcMar>
            <w:vAlign w:val="top"/>
          </w:tcPr>
          <w:p>
            <w:pPr>
              <w:spacing w:after="80" w:before="0" w:line="264"/>
              <w:jc w:val="left"/>
            </w:pPr>
            <w:r>
              <w:rPr>
                <w:rFonts w:ascii="맑은 고딕" w:cs="맑은 고딕" w:eastAsia="맑은 고딕" w:hAnsi="맑은 고딕"/>
                <w:b/>
                <w:bCs/>
                <w:color w:val="2F6BFF"/>
                <w:sz w:val="16"/>
                <w:szCs w:val="16"/>
              </w:rPr>
              <w:t xml:space="preserve">그림 05-1  </w:t>
            </w:r>
            <w:r>
              <w:rPr>
                <w:rFonts w:ascii="맑은 고딕" w:cs="맑은 고딕" w:eastAsia="맑은 고딕" w:hAnsi="맑은 고딕"/>
                <w:b/>
                <w:bCs/>
                <w:color w:val="111111"/>
                <w:sz w:val="16"/>
                <w:szCs w:val="16"/>
              </w:rPr>
              <w:t xml:space="preserve">Pre-A 전후 지분 구조</w:t>
            </w:r>
          </w:p>
          <w:p>
            <w:pPr>
              <w:jc w:val="center"/>
            </w:pPr>
            <w:r>
              <w:drawing>
                <wp:inline distT="0" distB="0" distL="0" distR="0">
                  <wp:extent cx="2676525" cy="2447925"/>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676525" cy="2447925"/>
                          </a:xfrm>
                          <a:prstGeom prst="rect">
                            <a:avLst/>
                          </a:prstGeom>
                        </pic:spPr>
                      </pic:pic>
                    </a:graphicData>
                  </a:graphic>
                </wp:inline>
              </w:drawing>
            </w:r>
          </w:p>
        </w:tc>
        <w:tc>
          <w:tcPr>
            <w:tcW w:type="dxa" w:w="4819"/>
            <w:tcMar>
              <w:top w:type="dxa" w:w="140"/>
              <w:left w:type="dxa" w:w="110"/>
              <w:bottom w:type="dxa" w:w="120"/>
              <w:right w:type="dxa" w:w="110"/>
            </w:tcMar>
            <w:vAlign w:val="top"/>
          </w:tcPr>
          <w:p>
            <w:pPr>
              <w:spacing w:after="80" w:before="0" w:line="264"/>
              <w:jc w:val="left"/>
            </w:pPr>
            <w:r>
              <w:rPr>
                <w:rFonts w:ascii="맑은 고딕" w:cs="맑은 고딕" w:eastAsia="맑은 고딕" w:hAnsi="맑은 고딕"/>
                <w:b/>
                <w:bCs/>
                <w:color w:val="2F6BFF"/>
                <w:sz w:val="16"/>
                <w:szCs w:val="16"/>
              </w:rPr>
              <w:t xml:space="preserve">그림 05-2  </w:t>
            </w:r>
            <w:r>
              <w:rPr>
                <w:rFonts w:ascii="맑은 고딕" w:cs="맑은 고딕" w:eastAsia="맑은 고딕" w:hAnsi="맑은 고딕"/>
                <w:b/>
                <w:bCs/>
                <w:color w:val="111111"/>
                <w:sz w:val="16"/>
                <w:szCs w:val="16"/>
              </w:rPr>
              <w:t xml:space="preserve">투자금 사용 계획</w:t>
            </w:r>
          </w:p>
          <w:p>
            <w:pPr>
              <w:jc w:val="center"/>
            </w:pPr>
            <w:r>
              <w:drawing>
                <wp:inline distT="0" distB="0" distL="0" distR="0">
                  <wp:extent cx="2676525" cy="16764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76525" cy="1676400"/>
                          </a:xfrm>
                          <a:prstGeom prst="rect">
                            <a:avLst/>
                          </a:prstGeom>
                        </pic:spPr>
                      </pic:pic>
                    </a:graphicData>
                  </a:graphic>
                </wp:inline>
              </w:drawing>
            </w:r>
          </w:p>
        </w:tc>
      </w:tr>
    </w:tbl>
    <w:p>
      <w:pPr>
        <w:keepLines/>
        <w:spacing w:after="180" w:before="50" w:line="240"/>
        <w:jc w:val="left"/>
      </w:pPr>
      <w:r>
        <w:rPr>
          <w:rFonts w:ascii="맑은 고딕" w:cs="맑은 고딕" w:eastAsia="맑은 고딕" w:hAnsi="맑은 고딕"/>
          <w:color w:val="9AA3AF"/>
          <w:sz w:val="14"/>
          <w:szCs w:val="14"/>
        </w:rPr>
        <w:t xml:space="preserve">자료: 한결팩토리 제출 자료(가상), ㈜포항연합기술지주 분석</w:t>
      </w:r>
    </w:p>
    <w:p>
      <w:pPr>
        <w:keepNext/>
        <w:keepLines/>
        <w:spacing w:after="70" w:before="120" w:line="260"/>
        <w:jc w:val="left"/>
      </w:pPr>
      <w:r>
        <w:rPr>
          <w:rFonts w:ascii="맑은 고딕" w:cs="맑은 고딕" w:eastAsia="맑은 고딕" w:hAnsi="맑은 고딕"/>
          <w:b/>
          <w:bCs/>
          <w:color w:val="2F6BFF"/>
          <w:sz w:val="16"/>
          <w:szCs w:val="16"/>
        </w:rPr>
        <w:t xml:space="preserve">표 05-2  </w:t>
      </w:r>
      <w:r>
        <w:rPr>
          <w:rFonts w:ascii="맑은 고딕" w:cs="맑은 고딕" w:eastAsia="맑은 고딕" w:hAnsi="맑은 고딕"/>
          <w:b/>
          <w:bCs/>
          <w:color w:val="111111"/>
          <w:sz w:val="16"/>
          <w:szCs w:val="16"/>
        </w:rPr>
        <w:t xml:space="preserve">자금 사용 계획</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2008"/>
        <w:gridCol w:w="1205"/>
        <w:gridCol w:w="1305"/>
        <w:gridCol w:w="5120"/>
      </w:tblGrid>
      <w:tr>
        <w:trPr>
          <w:cantSplit/>
          <w:tblHeader/>
        </w:trPr>
        <w:tc>
          <w:tcPr>
            <w:tcW w:type="dxa" w:w="2008"/>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자금 사용</w:t>
            </w:r>
          </w:p>
        </w:tc>
        <w:tc>
          <w:tcPr>
            <w:tcW w:type="dxa" w:w="1205"/>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비중</w:t>
            </w:r>
          </w:p>
        </w:tc>
        <w:tc>
          <w:tcPr>
            <w:tcW w:type="dxa" w:w="1305"/>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금액</w:t>
            </w:r>
          </w:p>
        </w:tc>
        <w:tc>
          <w:tcPr>
            <w:tcW w:type="dxa" w:w="5120"/>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관리 기준</w:t>
            </w:r>
          </w:p>
        </w:tc>
      </w:tr>
      <w:tr>
        <w:trPr>
          <w:cantSplit/>
        </w:trPr>
        <w:tc>
          <w:tcPr>
            <w:tcW w:type="dxa" w:w="2008"/>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인건비</w:t>
            </w:r>
          </w:p>
        </w:tc>
        <w:tc>
          <w:tcPr>
            <w:tcW w:type="dxa" w:w="1205"/>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45%</w:t>
            </w:r>
          </w:p>
        </w:tc>
        <w:tc>
          <w:tcPr>
            <w:tcW w:type="dxa" w:w="1305"/>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675</w:t>
            </w:r>
          </w:p>
        </w:tc>
        <w:tc>
          <w:tcPr>
            <w:tcW w:type="dxa" w:w="512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기존 및 신규 인력 인건비</w:t>
            </w:r>
          </w:p>
        </w:tc>
      </w:tr>
      <w:tr>
        <w:trPr>
          <w:cantSplit/>
        </w:trPr>
        <w:tc>
          <w:tcPr>
            <w:tcW w:type="dxa" w:w="2008"/>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연구개발</w:t>
            </w:r>
          </w:p>
        </w:tc>
        <w:tc>
          <w:tcPr>
            <w:tcW w:type="dxa" w:w="1205"/>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25%</w:t>
            </w:r>
          </w:p>
        </w:tc>
        <w:tc>
          <w:tcPr>
            <w:tcW w:type="dxa" w:w="1305"/>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375</w:t>
            </w:r>
          </w:p>
        </w:tc>
        <w:tc>
          <w:tcPr>
            <w:tcW w:type="dxa" w:w="512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외주, 인프라, 검증비, 인건비와 중복 제외</w:t>
            </w:r>
          </w:p>
        </w:tc>
      </w:tr>
      <w:tr>
        <w:trPr>
          <w:cantSplit/>
        </w:trPr>
        <w:tc>
          <w:tcPr>
            <w:tcW w:type="dxa" w:w="2008"/>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마케팅</w:t>
            </w:r>
          </w:p>
        </w:tc>
        <w:tc>
          <w:tcPr>
            <w:tcW w:type="dxa" w:w="1205"/>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15%</w:t>
            </w:r>
          </w:p>
        </w:tc>
        <w:tc>
          <w:tcPr>
            <w:tcW w:type="dxa" w:w="1305"/>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225</w:t>
            </w:r>
          </w:p>
        </w:tc>
        <w:tc>
          <w:tcPr>
            <w:tcW w:type="dxa" w:w="512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고객 획득 비용과 전환율 점검</w:t>
            </w:r>
          </w:p>
        </w:tc>
      </w:tr>
      <w:tr>
        <w:trPr>
          <w:cantSplit/>
        </w:trPr>
        <w:tc>
          <w:tcPr>
            <w:tcW w:type="dxa" w:w="2008"/>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설비</w:t>
            </w:r>
          </w:p>
        </w:tc>
        <w:tc>
          <w:tcPr>
            <w:tcW w:type="dxa" w:w="1205"/>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5%</w:t>
            </w:r>
          </w:p>
        </w:tc>
        <w:tc>
          <w:tcPr>
            <w:tcW w:type="dxa" w:w="1305"/>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75</w:t>
            </w:r>
          </w:p>
        </w:tc>
        <w:tc>
          <w:tcPr>
            <w:tcW w:type="dxa" w:w="512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테스트 환경 중심 집행</w:t>
            </w:r>
          </w:p>
        </w:tc>
      </w:tr>
      <w:tr>
        <w:trPr>
          <w:cantSplit/>
        </w:trPr>
        <w:tc>
          <w:tcPr>
            <w:tcW w:type="dxa" w:w="2008"/>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운영자금</w:t>
            </w:r>
          </w:p>
        </w:tc>
        <w:tc>
          <w:tcPr>
            <w:tcW w:type="dxa" w:w="1205"/>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10%</w:t>
            </w:r>
          </w:p>
        </w:tc>
        <w:tc>
          <w:tcPr>
            <w:tcW w:type="dxa" w:w="1305"/>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150</w:t>
            </w:r>
          </w:p>
        </w:tc>
        <w:tc>
          <w:tcPr>
            <w:tcW w:type="dxa" w:w="512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현금 완충 및 계약 이행</w:t>
            </w:r>
          </w:p>
        </w:tc>
      </w:tr>
      <w:tr>
        <w:trPr>
          <w:cantSplit/>
        </w:trPr>
        <w:tc>
          <w:tcPr>
            <w:tcW w:type="dxa" w:w="2008"/>
            <w:shd w:fill="E9EDF4"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합계</w:t>
            </w:r>
          </w:p>
        </w:tc>
        <w:tc>
          <w:tcPr>
            <w:tcW w:type="dxa" w:w="1205"/>
            <w:shd w:fill="E9EDF4"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bCs/>
                <w:color w:val="262A33"/>
                <w:sz w:val="17"/>
                <w:szCs w:val="17"/>
              </w:rPr>
              <w:t xml:space="preserve">100%</w:t>
            </w:r>
          </w:p>
        </w:tc>
        <w:tc>
          <w:tcPr>
            <w:tcW w:type="dxa" w:w="1305"/>
            <w:shd w:fill="E9EDF4"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bCs/>
                <w:color w:val="262A33"/>
                <w:sz w:val="17"/>
                <w:szCs w:val="17"/>
              </w:rPr>
              <w:t xml:space="preserve">1,500</w:t>
            </w:r>
          </w:p>
        </w:tc>
        <w:tc>
          <w:tcPr>
            <w:tcW w:type="dxa" w:w="5120"/>
            <w:shd w:fill="E9EDF4"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투자금 수령 후 단계별 집행</w:t>
            </w:r>
          </w:p>
        </w:tc>
      </w:tr>
    </w:tbl>
    <w:p>
      <w:pPr>
        <w:spacing w:after="160" w:before="0" w:line="120"/>
      </w:pP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투자 준비에서 보완할 증빙</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12"/>
        <w:gridCol w:w="3212"/>
        <w:gridCol w:w="3214"/>
      </w:tblGrid>
      <w:tr>
        <w:trPr>
          <w:cantSplit/>
        </w:trPr>
        <w:tc>
          <w:tcPr>
            <w:tcW w:type="dxa" w:w="3212"/>
            <w:tcBorders>
              <w:top w:val="single" w:color="2F6BFF"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유료 고객 목표</w:t>
            </w:r>
          </w:p>
          <w:p>
            <w:pPr>
              <w:spacing w:after="40" w:before="0" w:line="380"/>
              <w:jc w:val="left"/>
            </w:pPr>
            <w:r>
              <w:rPr>
                <w:rFonts w:ascii="맑은 고딕" w:cs="맑은 고딕" w:eastAsia="맑은 고딕" w:hAnsi="맑은 고딕"/>
                <w:b/>
                <w:bCs/>
                <w:color w:val="0B1F4B"/>
                <w:sz w:val="34"/>
                <w:szCs w:val="34"/>
              </w:rPr>
              <w:t xml:space="preserve">45</w:t>
            </w:r>
            <w:r>
              <w:rPr>
                <w:rFonts w:ascii="맑은 고딕" w:cs="맑은 고딕" w:eastAsia="맑은 고딕" w:hAnsi="맑은 고딕"/>
                <w:b/>
                <w:bCs/>
                <w:color w:val="0B1F4B"/>
                <w:sz w:val="17"/>
                <w:szCs w:val="17"/>
              </w:rPr>
              <w:t xml:space="preserve"> 개사</w:t>
            </w:r>
          </w:p>
          <w:p>
            <w:pPr>
              <w:spacing w:after="0" w:before="0" w:line="240"/>
              <w:jc w:val="left"/>
            </w:pPr>
            <w:r>
              <w:rPr>
                <w:rFonts w:ascii="맑은 고딕" w:cs="맑은 고딕" w:eastAsia="맑은 고딕" w:hAnsi="맑은 고딕"/>
                <w:color w:val="6B7280"/>
                <w:sz w:val="14"/>
                <w:szCs w:val="14"/>
              </w:rPr>
              <w:t xml:space="preserve">투자 유입 후 12개월</w:t>
            </w:r>
          </w:p>
        </w:tc>
        <w:tc>
          <w:tcPr>
            <w:tcW w:type="dxa" w:w="3212"/>
            <w:tcBorders>
              <w:top w:val="single" w:color="2F6BFF"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월 반복매출 목표</w:t>
            </w:r>
          </w:p>
          <w:p>
            <w:pPr>
              <w:spacing w:after="40" w:before="0" w:line="380"/>
              <w:jc w:val="left"/>
            </w:pPr>
            <w:r>
              <w:rPr>
                <w:rFonts w:ascii="맑은 고딕" w:cs="맑은 고딕" w:eastAsia="맑은 고딕" w:hAnsi="맑은 고딕"/>
                <w:b/>
                <w:bCs/>
                <w:color w:val="0B1F4B"/>
                <w:sz w:val="34"/>
                <w:szCs w:val="34"/>
              </w:rPr>
              <w:t xml:space="preserve">100</w:t>
            </w:r>
            <w:r>
              <w:rPr>
                <w:rFonts w:ascii="맑은 고딕" w:cs="맑은 고딕" w:eastAsia="맑은 고딕" w:hAnsi="맑은 고딕"/>
                <w:b/>
                <w:bCs/>
                <w:color w:val="0B1F4B"/>
                <w:sz w:val="17"/>
                <w:szCs w:val="17"/>
              </w:rPr>
              <w:t xml:space="preserve"/>
            </w:r>
          </w:p>
          <w:p>
            <w:pPr>
              <w:spacing w:after="0" w:before="0" w:line="240"/>
              <w:jc w:val="left"/>
            </w:pPr>
            <w:r>
              <w:rPr>
                <w:rFonts w:ascii="맑은 고딕" w:cs="맑은 고딕" w:eastAsia="맑은 고딕" w:hAnsi="맑은 고딕"/>
                <w:color w:val="6B7280"/>
                <w:sz w:val="14"/>
                <w:szCs w:val="14"/>
              </w:rPr>
              <w:t xml:space="preserve">MRR, 백만원</w:t>
            </w:r>
          </w:p>
        </w:tc>
        <w:tc>
          <w:tcPr>
            <w:tcW w:type="dxa" w:w="3214"/>
            <w:tcBorders>
              <w:top w:val="single" w:color="2F6BFF"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표준 구축기간 목표</w:t>
            </w:r>
          </w:p>
          <w:p>
            <w:pPr>
              <w:spacing w:after="40" w:before="0" w:line="380"/>
              <w:jc w:val="left"/>
            </w:pPr>
            <w:r>
              <w:rPr>
                <w:rFonts w:ascii="맑은 고딕" w:cs="맑은 고딕" w:eastAsia="맑은 고딕" w:hAnsi="맑은 고딕"/>
                <w:b/>
                <w:bCs/>
                <w:color w:val="2F6BFF"/>
                <w:sz w:val="34"/>
                <w:szCs w:val="34"/>
              </w:rPr>
              <w:t xml:space="preserve">14</w:t>
            </w:r>
            <w:r>
              <w:rPr>
                <w:rFonts w:ascii="맑은 고딕" w:cs="맑은 고딕" w:eastAsia="맑은 고딕" w:hAnsi="맑은 고딕"/>
                <w:b/>
                <w:bCs/>
                <w:color w:val="0B1F4B"/>
                <w:sz w:val="17"/>
                <w:szCs w:val="17"/>
              </w:rPr>
              <w:t xml:space="preserve"> 일</w:t>
            </w:r>
          </w:p>
          <w:p>
            <w:pPr>
              <w:spacing w:after="0" w:before="0" w:line="240"/>
              <w:jc w:val="left"/>
            </w:pPr>
            <w:r>
              <w:rPr>
                <w:rFonts w:ascii="맑은 고딕" w:cs="맑은 고딕" w:eastAsia="맑은 고딕" w:hAnsi="맑은 고딕"/>
                <w:color w:val="6B7280"/>
                <w:sz w:val="14"/>
                <w:szCs w:val="14"/>
              </w:rPr>
              <w:t xml:space="preserve">현재 중앙값 28일</w:t>
            </w:r>
          </w:p>
        </w:tc>
      </w:tr>
    </w:tbl>
    <w:p>
      <w:pPr>
        <w:spacing w:after="100" w:before="0" w:line="120"/>
      </w:pPr>
    </w:p>
    <w:p>
      <w:pPr>
        <w:keepLines/>
        <w:spacing w:after="130" w:before="0" w:line="320"/>
        <w:jc w:val="both"/>
      </w:pPr>
      <w:r>
        <w:rPr>
          <w:rFonts w:ascii="맑은 고딕" w:cs="맑은 고딕" w:eastAsia="맑은 고딕" w:hAnsi="맑은 고딕"/>
          <w:b w:val="false"/>
          <w:bCs w:val="false"/>
          <w:color w:val="262A33"/>
          <w:sz w:val="19"/>
          <w:szCs w:val="19"/>
        </w:rPr>
        <w:t xml:space="preserve">투자금 유입 후 12개월 내 유료 고객 45개사, 월 반복매출 100, 표준 구축기간 14일을 목표로 설정한다. 투자 검토 전에는 월별 구독 매출, 고객 유지율, PoC 전환, 고객별 공헌이익을 한 기준으로 정리한다. 고객 실적과 계약서는 익명화된 목록과 원본 대조가 가능하도록 관리한다.</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정부지원사업 현황과 신청 방향</w:t>
      </w:r>
    </w:p>
    <w:p>
      <w:pPr>
        <w:keepNext/>
        <w:keepLines/>
        <w:spacing w:after="70" w:before="120" w:line="260"/>
        <w:jc w:val="left"/>
      </w:pPr>
      <w:r>
        <w:rPr>
          <w:rFonts w:ascii="맑은 고딕" w:cs="맑은 고딕" w:eastAsia="맑은 고딕" w:hAnsi="맑은 고딕"/>
          <w:b/>
          <w:bCs/>
          <w:color w:val="2F6BFF"/>
          <w:sz w:val="16"/>
          <w:szCs w:val="16"/>
        </w:rPr>
        <w:t xml:space="preserve">표 05-3  </w:t>
      </w:r>
      <w:r>
        <w:rPr>
          <w:rFonts w:ascii="맑은 고딕" w:cs="맑은 고딕" w:eastAsia="맑은 고딕" w:hAnsi="맑은 고딕"/>
          <w:b/>
          <w:bCs/>
          <w:color w:val="111111"/>
          <w:sz w:val="16"/>
          <w:szCs w:val="16"/>
        </w:rPr>
        <w:t xml:space="preserve">정부지원사업 수혜 이력과 TIPS 계열 현황</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3213"/>
        <w:gridCol w:w="1004"/>
        <w:gridCol w:w="904"/>
        <w:gridCol w:w="1406"/>
        <w:gridCol w:w="3111"/>
      </w:tblGrid>
      <w:tr>
        <w:trPr>
          <w:cantSplit/>
          <w:tblHeader/>
        </w:trPr>
        <w:tc>
          <w:tcPr>
            <w:tcW w:type="dxa" w:w="3213"/>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구분</w:t>
            </w:r>
          </w:p>
        </w:tc>
        <w:tc>
          <w:tcPr>
            <w:tcW w:type="dxa" w:w="1004"/>
            <w:shd w:fill="0B1F4B" w:color="auto" w:val="clear"/>
            <w:tcMar>
              <w:top w:type="dxa" w:w="90"/>
              <w:left w:type="dxa" w:w="110"/>
              <w:bottom w:type="dxa" w:w="90"/>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연도</w:t>
            </w:r>
          </w:p>
        </w:tc>
        <w:tc>
          <w:tcPr>
            <w:tcW w:type="dxa" w:w="904"/>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금액</w:t>
            </w:r>
          </w:p>
        </w:tc>
        <w:tc>
          <w:tcPr>
            <w:tcW w:type="dxa" w:w="1406"/>
            <w:shd w:fill="0B1F4B" w:color="auto" w:val="clear"/>
            <w:tcMar>
              <w:top w:type="dxa" w:w="90"/>
              <w:left w:type="dxa" w:w="110"/>
              <w:bottom w:type="dxa" w:w="90"/>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상태</w:t>
            </w:r>
          </w:p>
        </w:tc>
        <w:tc>
          <w:tcPr>
            <w:tcW w:type="dxa" w:w="3111"/>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성과 또는 비고</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지역 실증사업</w:t>
            </w:r>
          </w:p>
        </w:tc>
        <w:tc>
          <w:tcPr>
            <w:tcW w:type="dxa" w:w="1004"/>
            <w:shd w:fill="FFFF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7"/>
                <w:szCs w:val="17"/>
              </w:rPr>
              <w:t xml:space="preserve">2024년</w:t>
            </w:r>
          </w:p>
        </w:tc>
        <w:tc>
          <w:tcPr>
            <w:tcW w:type="dxa" w:w="904"/>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50</w:t>
            </w:r>
          </w:p>
        </w:tc>
        <w:tc>
          <w:tcPr>
            <w:tcW w:type="dxa" w:w="1406"/>
            <w:shd w:fill="FFFF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7"/>
                <w:szCs w:val="17"/>
              </w:rPr>
              <w:t xml:space="preserve">완료</w:t>
            </w:r>
          </w:p>
        </w:tc>
        <w:tc>
          <w:tcPr>
            <w:tcW w:type="dxa" w:w="3111"/>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시제품 1종</w:t>
            </w:r>
          </w:p>
        </w:tc>
      </w:tr>
      <w:tr>
        <w:trPr>
          <w:cantSplit/>
        </w:trPr>
        <w:tc>
          <w:tcPr>
            <w:tcW w:type="dxa" w:w="3213"/>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사업화 지원사업</w:t>
            </w:r>
          </w:p>
        </w:tc>
        <w:tc>
          <w:tcPr>
            <w:tcW w:type="dxa" w:w="1004"/>
            <w:shd w:fill="F6F8F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7"/>
                <w:szCs w:val="17"/>
              </w:rPr>
              <w:t xml:space="preserve">2025년</w:t>
            </w:r>
          </w:p>
        </w:tc>
        <w:tc>
          <w:tcPr>
            <w:tcW w:type="dxa" w:w="904"/>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80</w:t>
            </w:r>
          </w:p>
        </w:tc>
        <w:tc>
          <w:tcPr>
            <w:tcW w:type="dxa" w:w="1406"/>
            <w:shd w:fill="F6F8F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7"/>
                <w:szCs w:val="17"/>
              </w:rPr>
              <w:t xml:space="preserve">완료</w:t>
            </w:r>
          </w:p>
        </w:tc>
        <w:tc>
          <w:tcPr>
            <w:tcW w:type="dxa" w:w="3111"/>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유료 실증 3건</w:t>
            </w:r>
          </w:p>
        </w:tc>
      </w:tr>
      <w:tr>
        <w:trPr>
          <w:cantSplit/>
        </w:trPr>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일반 TIPS</w:t>
            </w:r>
          </w:p>
        </w:tc>
        <w:tc>
          <w:tcPr>
            <w:tcW w:type="dxa" w:w="1004"/>
            <w:shd w:fill="FFFF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7"/>
                <w:szCs w:val="17"/>
              </w:rPr>
              <w:t xml:space="preserve">-</w:t>
            </w:r>
          </w:p>
        </w:tc>
        <w:tc>
          <w:tcPr>
            <w:tcW w:type="dxa" w:w="904"/>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w:t>
            </w:r>
          </w:p>
        </w:tc>
        <w:tc>
          <w:tcPr>
            <w:tcW w:type="dxa" w:w="1406"/>
            <w:shd w:fill="FFFF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7"/>
                <w:szCs w:val="17"/>
              </w:rPr>
              <w:t xml:space="preserve">검토 단계</w:t>
            </w:r>
          </w:p>
        </w:tc>
        <w:tc>
          <w:tcPr>
            <w:tcW w:type="dxa" w:w="3111"/>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선정, 추천 운영사, 확정 지원액, 수행 기간 없음</w:t>
            </w:r>
          </w:p>
        </w:tc>
      </w:tr>
      <w:tr>
        <w:trPr>
          <w:cantSplit/>
        </w:trPr>
        <w:tc>
          <w:tcPr>
            <w:tcW w:type="dxa" w:w="3213"/>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Pre-TIPS, Post-TIPS, 스케일업 TIPS, LIPS</w:t>
            </w:r>
          </w:p>
        </w:tc>
        <w:tc>
          <w:tcPr>
            <w:tcW w:type="dxa" w:w="1004"/>
            <w:shd w:fill="F6F8F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7"/>
                <w:szCs w:val="17"/>
              </w:rPr>
              <w:t xml:space="preserve">-</w:t>
            </w:r>
          </w:p>
        </w:tc>
        <w:tc>
          <w:tcPr>
            <w:tcW w:type="dxa" w:w="904"/>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7"/>
                <w:szCs w:val="17"/>
              </w:rPr>
              <w:t xml:space="preserve">-</w:t>
            </w:r>
          </w:p>
        </w:tc>
        <w:tc>
          <w:tcPr>
            <w:tcW w:type="dxa" w:w="1406"/>
            <w:shd w:fill="F6F8F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7"/>
                <w:szCs w:val="17"/>
              </w:rPr>
              <w:t xml:space="preserve">해당 없음</w:t>
            </w:r>
          </w:p>
        </w:tc>
        <w:tc>
          <w:tcPr>
            <w:tcW w:type="dxa" w:w="3111"/>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w:t>
            </w:r>
          </w:p>
        </w:tc>
      </w:tr>
    </w:tbl>
    <w:p>
      <w:pPr>
        <w:keepLines/>
        <w:spacing w:after="180" w:before="50" w:line="240"/>
        <w:jc w:val="left"/>
      </w:pPr>
      <w:r>
        <w:rPr>
          <w:rFonts w:ascii="맑은 고딕" w:cs="맑은 고딕" w:eastAsia="맑은 고딕" w:hAnsi="맑은 고딕"/>
          <w:color w:val="9AA3AF"/>
          <w:sz w:val="14"/>
          <w:szCs w:val="14"/>
        </w:rPr>
        <w:t xml:space="preserve">주: 기관명과 공식 사업명은 지정하지 않음. 지원금은 해당 연도 회계와 현금에 반영된 것으로 가정</w:t>
      </w:r>
    </w:p>
    <w:p>
      <w:pPr>
        <w:keepLines/>
        <w:spacing w:after="130" w:before="0" w:line="320"/>
        <w:jc w:val="both"/>
      </w:pPr>
      <w:r>
        <w:rPr>
          <w:rFonts w:ascii="맑은 고딕" w:cs="맑은 고딕" w:eastAsia="맑은 고딕" w:hAnsi="맑은 고딕"/>
          <w:b w:val="false"/>
          <w:bCs w:val="false"/>
          <w:color w:val="262A33"/>
          <w:sz w:val="19"/>
          <w:szCs w:val="19"/>
        </w:rPr>
        <w:t xml:space="preserve">가상 수혜 이력의 지원금은 보유 현금에 다시 더하지 않는다. 향후 6개월에는 기술 과제 적합성 상담과 지역 실증사업 탐색을 진행한다. 공고 확인 전에는 신청 시기나 지원액을 확정하지 않는다.</w:t>
      </w:r>
    </w:p>
    <w:p>
      <w:pPr>
        <w:keepLines/>
        <w:spacing w:after="130" w:before="0" w:line="320"/>
        <w:jc w:val="both"/>
      </w:pPr>
      <w:r>
        <w:rPr>
          <w:rFonts w:ascii="맑은 고딕" w:cs="맑은 고딕" w:eastAsia="맑은 고딕" w:hAnsi="맑은 고딕"/>
          <w:b w:val="false"/>
          <w:bCs w:val="false"/>
          <w:color w:val="262A33"/>
          <w:sz w:val="19"/>
          <w:szCs w:val="19"/>
        </w:rPr>
        <w:t xml:space="preserve">우선 보완 과제는 연구개발 목표의 수치화, 추천 운영사와의 적합성 상담, 자부담 및 과제비 집행계획이다. </w:t>
      </w:r>
      <w:r>
        <w:rPr>
          <w:rFonts w:ascii="맑은 고딕" w:cs="맑은 고딕" w:eastAsia="맑은 고딕" w:hAnsi="맑은 고딕"/>
          <w:b/>
          <w:bCs/>
          <w:color w:val="111111"/>
          <w:sz w:val="19"/>
          <w:szCs w:val="19"/>
        </w:rPr>
        <w:t xml:space="preserve">지원금 선정과 투자 유입은 기본 운영자금 전망에 포함하지 않는다.</w:t>
      </w:r>
    </w:p>
    <w:p>
      <w:pPr>
        <w:keepNext/>
        <w:keepLines/>
        <w:spacing w:after="40" w:before="520" w:line="320"/>
        <w:jc w:val="left"/>
      </w:pPr>
      <w:r>
        <w:rPr>
          <w:rFonts w:ascii="맑은 고딕" w:cs="맑은 고딕" w:eastAsia="맑은 고딕" w:hAnsi="맑은 고딕"/>
          <w:b/>
          <w:bCs/>
          <w:color w:val="2F6BFF"/>
          <w:spacing w:val="60"/>
          <w:sz w:val="15"/>
          <w:szCs w:val="15"/>
        </w:rPr>
        <w:t xml:space="preserve">ACTION PLAN</w:t>
      </w:r>
    </w:p>
    <w:p>
      <w:pPr>
        <w:pStyle w:val="Heading1"/>
        <w:keepNext/>
        <w:pBdr>
          <w:bottom w:val="single" w:color="111111" w:sz="14"/>
        </w:pBdr>
        <w:spacing w:after="260" w:before="0" w:line="300"/>
      </w:pPr>
      <w:r>
        <w:rPr>
          <w:rFonts w:ascii="맑은 고딕" w:cs="맑은 고딕" w:eastAsia="맑은 고딕" w:hAnsi="맑은 고딕"/>
          <w:b/>
          <w:bCs/>
          <w:color w:val="2F6BFF"/>
          <w:sz w:val="40"/>
          <w:szCs w:val="40"/>
        </w:rPr>
        <w:t xml:space="preserve">06  </w:t>
      </w:r>
      <w:r>
        <w:rPr>
          <w:rFonts w:ascii="맑은 고딕" w:cs="맑은 고딕" w:eastAsia="맑은 고딕" w:hAnsi="맑은 고딕"/>
          <w:b/>
          <w:bCs/>
          <w:color w:val="111111"/>
          <w:sz w:val="34"/>
          <w:szCs w:val="34"/>
        </w:rPr>
        <w:t xml:space="preserve">지원 우선순위와 6개월 실행계획</w:t>
      </w:r>
    </w:p>
    <w:p>
      <w:pPr>
        <w:keepLines/>
        <w:spacing w:after="130" w:before="0" w:line="320"/>
        <w:jc w:val="both"/>
      </w:pPr>
      <w:r>
        <w:rPr>
          <w:rFonts w:ascii="맑은 고딕" w:cs="맑은 고딕" w:eastAsia="맑은 고딕" w:hAnsi="맑은 고딕"/>
          <w:b w:val="false"/>
          <w:bCs w:val="false"/>
          <w:color w:val="262A33"/>
          <w:sz w:val="19"/>
          <w:szCs w:val="19"/>
        </w:rPr>
        <w:t xml:space="preserve">프로그램 기간은 2026년 10월부터 2027년 3월까지로 가정한다. 9월 말 실적을 기준선으로 두고 교육, 멘토링, 연결 지원을 실제 산출물과 연결한다.</w:t>
      </w:r>
    </w:p>
    <w:p>
      <w:pPr>
        <w:keepNext/>
        <w:keepLines/>
        <w:spacing w:after="70" w:before="120" w:line="260"/>
        <w:jc w:val="left"/>
      </w:pPr>
      <w:r>
        <w:rPr>
          <w:rFonts w:ascii="맑은 고딕" w:cs="맑은 고딕" w:eastAsia="맑은 고딕" w:hAnsi="맑은 고딕"/>
          <w:b/>
          <w:bCs/>
          <w:color w:val="2F6BFF"/>
          <w:sz w:val="16"/>
          <w:szCs w:val="16"/>
        </w:rPr>
        <w:t xml:space="preserve">표 06-1  </w:t>
      </w:r>
      <w:r>
        <w:rPr>
          <w:rFonts w:ascii="맑은 고딕" w:cs="맑은 고딕" w:eastAsia="맑은 고딕" w:hAnsi="맑은 고딕"/>
          <w:b/>
          <w:bCs/>
          <w:color w:val="111111"/>
          <w:sz w:val="16"/>
          <w:szCs w:val="16"/>
        </w:rPr>
        <w:t xml:space="preserve">지원 우선순위</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1104"/>
        <w:gridCol w:w="2510"/>
        <w:gridCol w:w="3213"/>
        <w:gridCol w:w="2811"/>
      </w:tblGrid>
      <w:tr>
        <w:trPr>
          <w:cantSplit/>
          <w:tblHeader/>
        </w:trPr>
        <w:tc>
          <w:tcPr>
            <w:tcW w:type="dxa" w:w="1104"/>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순위</w:t>
            </w:r>
          </w:p>
        </w:tc>
        <w:tc>
          <w:tcPr>
            <w:tcW w:type="dxa" w:w="2510"/>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지원 유형</w:t>
            </w:r>
          </w:p>
        </w:tc>
        <w:tc>
          <w:tcPr>
            <w:tcW w:type="dxa" w:w="3213"/>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요청 내용</w:t>
            </w:r>
          </w:p>
        </w:tc>
        <w:tc>
          <w:tcPr>
            <w:tcW w:type="dxa" w:w="2811"/>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완료 산출물</w:t>
            </w:r>
          </w:p>
        </w:tc>
      </w:tr>
      <w:tr>
        <w:trPr>
          <w:cantSplit/>
        </w:trPr>
        <w:tc>
          <w:tcPr>
            <w:tcW w:type="dxa" w:w="1104"/>
            <w:shd w:fill="0B1F4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1순위</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재무 교육과 멘토링</w:t>
            </w:r>
          </w:p>
        </w:tc>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현금계획, 고객별 원가, 가격정책 수립</w:t>
            </w:r>
          </w:p>
        </w:tc>
        <w:tc>
          <w:tcPr>
            <w:tcW w:type="dxa" w:w="2811"/>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13주 현금표, 고객별 손익표</w:t>
            </w:r>
          </w:p>
        </w:tc>
      </w:tr>
      <w:tr>
        <w:trPr>
          <w:cantSplit/>
        </w:trPr>
        <w:tc>
          <w:tcPr>
            <w:tcW w:type="dxa" w:w="1104"/>
            <w:shd w:fill="0B1F4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1순위</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영업 멘토링과 수요기업 연결</w:t>
            </w:r>
          </w:p>
        </w:tc>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동일 업종 타깃 발굴과 유료 실증 설계</w:t>
            </w:r>
          </w:p>
        </w:tc>
        <w:tc>
          <w:tcPr>
            <w:tcW w:type="dxa" w:w="2811"/>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타깃 30개사, 실증 제안서</w:t>
            </w:r>
          </w:p>
        </w:tc>
      </w:tr>
      <w:tr>
        <w:trPr>
          <w:cantSplit/>
        </w:trPr>
        <w:tc>
          <w:tcPr>
            <w:tcW w:type="dxa" w:w="1104"/>
            <w:shd w:fill="2F6B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2순위</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제품 멘토링</w:t>
            </w:r>
          </w:p>
        </w:tc>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표준 기능과 개별 개발 범위 분리</w:t>
            </w:r>
          </w:p>
        </w:tc>
        <w:tc>
          <w:tcPr>
            <w:tcW w:type="dxa" w:w="2811"/>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표준 기능표, 변경 요청 기준</w:t>
            </w:r>
          </w:p>
        </w:tc>
      </w:tr>
      <w:tr>
        <w:trPr>
          <w:cantSplit/>
        </w:trPr>
        <w:tc>
          <w:tcPr>
            <w:tcW w:type="dxa" w:w="1104"/>
            <w:shd w:fill="2F6B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2순위</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IR 교육과 투자자 연결</w:t>
            </w:r>
          </w:p>
        </w:tc>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반복매출 중심의 투자 논리와 자료실 구성</w:t>
            </w:r>
          </w:p>
        </w:tc>
        <w:tc>
          <w:tcPr>
            <w:tcW w:type="dxa" w:w="2811"/>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IR 자료, 지표 정의서, 자료실</w:t>
            </w:r>
          </w:p>
        </w:tc>
      </w:tr>
      <w:tr>
        <w:trPr>
          <w:cantSplit/>
        </w:trPr>
        <w:tc>
          <w:tcPr>
            <w:tcW w:type="dxa" w:w="1104"/>
            <w:shd w:fill="9CC0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0B1F4B"/>
                <w:sz w:val="16"/>
                <w:szCs w:val="16"/>
              </w:rPr>
              <w:t xml:space="preserve">3순위</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과제 기획과 채용 연결</w:t>
            </w:r>
          </w:p>
        </w:tc>
        <w:tc>
          <w:tcPr>
            <w:tcW w:type="dxa" w:w="32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사업 적합성 검토, 영업 인재 확보</w:t>
            </w:r>
          </w:p>
        </w:tc>
        <w:tc>
          <w:tcPr>
            <w:tcW w:type="dxa" w:w="2811"/>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공고 검토표, 채용 평가표</w:t>
            </w:r>
          </w:p>
        </w:tc>
      </w:tr>
    </w:tbl>
    <w:p>
      <w:pPr>
        <w:spacing w:after="160" w:before="0" w:line="120"/>
      </w:pP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단계별 실행</w:t>
      </w:r>
    </w:p>
    <w:p>
      <w:pPr>
        <w:keepNext/>
        <w:keepLines/>
        <w:spacing w:after="70" w:before="120" w:line="260"/>
        <w:jc w:val="left"/>
      </w:pPr>
      <w:r>
        <w:rPr>
          <w:rFonts w:ascii="맑은 고딕" w:cs="맑은 고딕" w:eastAsia="맑은 고딕" w:hAnsi="맑은 고딕"/>
          <w:b/>
          <w:bCs/>
          <w:color w:val="2F6BFF"/>
          <w:sz w:val="16"/>
          <w:szCs w:val="16"/>
        </w:rPr>
        <w:t xml:space="preserve">그림 06-1  </w:t>
      </w:r>
      <w:r>
        <w:rPr>
          <w:rFonts w:ascii="맑은 고딕" w:cs="맑은 고딕" w:eastAsia="맑은 고딕" w:hAnsi="맑은 고딕"/>
          <w:b/>
          <w:bCs/>
          <w:color w:val="111111"/>
          <w:sz w:val="16"/>
          <w:szCs w:val="16"/>
        </w:rPr>
        <w:t xml:space="preserve">6개월 실행 일정과 마일스톤</w:t>
      </w:r>
    </w:p>
    <w:p>
      <w:pPr>
        <w:keepNext/>
        <w:spacing w:after="0" w:before="60"/>
        <w:jc w:val="center"/>
      </w:pPr>
      <w:r>
        <w:drawing>
          <wp:inline distT="0" distB="0" distL="0" distR="0">
            <wp:extent cx="6124575" cy="1990725"/>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124575" cy="1990725"/>
                    </a:xfrm>
                    <a:prstGeom prst="rect">
                      <a:avLst/>
                    </a:prstGeom>
                  </pic:spPr>
                </pic:pic>
              </a:graphicData>
            </a:graphic>
          </wp:inline>
        </w:drawing>
      </w:r>
    </w:p>
    <w:p>
      <w:pPr>
        <w:keepLines/>
        <w:spacing w:after="180" w:before="50" w:line="240"/>
        <w:jc w:val="left"/>
      </w:pPr>
      <w:r>
        <w:rPr>
          <w:rFonts w:ascii="맑은 고딕" w:cs="맑은 고딕" w:eastAsia="맑은 고딕" w:hAnsi="맑은 고딕"/>
          <w:color w:val="9AA3AF"/>
          <w:sz w:val="14"/>
          <w:szCs w:val="14"/>
        </w:rPr>
        <w:t xml:space="preserve">자료: 한결팩토리 제출 자료(가상), ㈜포항연합기술지주 분석</w:t>
      </w:r>
    </w:p>
    <w:p>
      <w:pPr>
        <w:keepNext/>
        <w:keepLines/>
        <w:spacing w:after="70" w:before="120" w:line="260"/>
        <w:jc w:val="left"/>
      </w:pPr>
      <w:r>
        <w:rPr>
          <w:rFonts w:ascii="맑은 고딕" w:cs="맑은 고딕" w:eastAsia="맑은 고딕" w:hAnsi="맑은 고딕"/>
          <w:b/>
          <w:bCs/>
          <w:color w:val="2F6BFF"/>
          <w:sz w:val="16"/>
          <w:szCs w:val="16"/>
        </w:rPr>
        <w:t xml:space="preserve">표 06-2  </w:t>
      </w:r>
      <w:r>
        <w:rPr>
          <w:rFonts w:ascii="맑은 고딕" w:cs="맑은 고딕" w:eastAsia="맑은 고딕" w:hAnsi="맑은 고딕"/>
          <w:b/>
          <w:bCs/>
          <w:color w:val="111111"/>
          <w:sz w:val="16"/>
          <w:szCs w:val="16"/>
        </w:rPr>
        <w:t xml:space="preserve">월별 실행과제와 완료 조건</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1606"/>
        <w:gridCol w:w="3413"/>
        <w:gridCol w:w="1506"/>
        <w:gridCol w:w="3113"/>
      </w:tblGrid>
      <w:tr>
        <w:trPr>
          <w:cantSplit/>
          <w:tblHeader/>
        </w:trPr>
        <w:tc>
          <w:tcPr>
            <w:tcW w:type="dxa" w:w="1606"/>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기간</w:t>
            </w:r>
          </w:p>
        </w:tc>
        <w:tc>
          <w:tcPr>
            <w:tcW w:type="dxa" w:w="3413"/>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핵심 실행과제</w:t>
            </w:r>
          </w:p>
        </w:tc>
        <w:tc>
          <w:tcPr>
            <w:tcW w:type="dxa" w:w="1506"/>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책임자</w:t>
            </w:r>
          </w:p>
        </w:tc>
        <w:tc>
          <w:tcPr>
            <w:tcW w:type="dxa" w:w="3113"/>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완료 조건</w:t>
            </w:r>
          </w:p>
        </w:tc>
      </w:tr>
      <w:tr>
        <w:trPr>
          <w:cantSplit/>
        </w:trPr>
        <w:tc>
          <w:tcPr>
            <w:tcW w:type="dxa" w:w="160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2026년 10월</w:t>
            </w:r>
          </w:p>
        </w:tc>
        <w:tc>
          <w:tcPr>
            <w:tcW w:type="dxa" w:w="34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지표 정의 통일, 현금계획 구축, 고객 원가 분석</w:t>
            </w:r>
          </w:p>
        </w:tc>
        <w:tc>
          <w:tcPr>
            <w:tcW w:type="dxa" w:w="150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대표, 경영지원</w:t>
            </w:r>
          </w:p>
        </w:tc>
        <w:tc>
          <w:tcPr>
            <w:tcW w:type="dxa" w:w="31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매출, 현금, 고객 데이터 대사 완료</w:t>
            </w:r>
          </w:p>
        </w:tc>
      </w:tr>
      <w:tr>
        <w:trPr>
          <w:cantSplit/>
        </w:trPr>
        <w:tc>
          <w:tcPr>
            <w:tcW w:type="dxa" w:w="1606"/>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11월</w:t>
            </w:r>
          </w:p>
        </w:tc>
        <w:tc>
          <w:tcPr>
            <w:tcW w:type="dxa" w:w="3413"/>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표준 가격표 확정, 영업 담당 채용, 타깃 접촉</w:t>
            </w:r>
          </w:p>
        </w:tc>
        <w:tc>
          <w:tcPr>
            <w:tcW w:type="dxa" w:w="1506"/>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대표, 영업</w:t>
            </w:r>
          </w:p>
        </w:tc>
        <w:tc>
          <w:tcPr>
            <w:tcW w:type="dxa" w:w="3113"/>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가격표 1종, 채용 1명, 타깃 30개사</w:t>
            </w:r>
          </w:p>
        </w:tc>
      </w:tr>
      <w:tr>
        <w:trPr>
          <w:cantSplit/>
        </w:trPr>
        <w:tc>
          <w:tcPr>
            <w:tcW w:type="dxa" w:w="160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12월</w:t>
            </w:r>
          </w:p>
        </w:tc>
        <w:tc>
          <w:tcPr>
            <w:tcW w:type="dxa" w:w="34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표준 커넥터 적용, 기존 고객 사례 제작</w:t>
            </w:r>
          </w:p>
        </w:tc>
        <w:tc>
          <w:tcPr>
            <w:tcW w:type="dxa" w:w="150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CTO, 운영</w:t>
            </w:r>
          </w:p>
        </w:tc>
        <w:tc>
          <w:tcPr>
            <w:tcW w:type="dxa" w:w="31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유료 고객 22개사, 월 반복매출 50</w:t>
            </w:r>
          </w:p>
        </w:tc>
      </w:tr>
      <w:tr>
        <w:trPr>
          <w:cantSplit/>
        </w:trPr>
        <w:tc>
          <w:tcPr>
            <w:tcW w:type="dxa" w:w="1606"/>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2027년 1~2월</w:t>
            </w:r>
          </w:p>
        </w:tc>
        <w:tc>
          <w:tcPr>
            <w:tcW w:type="dxa" w:w="3413"/>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제품 2.0 실증, 투자 미팅, 조건부 개발자 채용</w:t>
            </w:r>
          </w:p>
        </w:tc>
        <w:tc>
          <w:tcPr>
            <w:tcW w:type="dxa" w:w="1506"/>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CTO, 대표</w:t>
            </w:r>
          </w:p>
        </w:tc>
        <w:tc>
          <w:tcPr>
            <w:tcW w:type="dxa" w:w="3113"/>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유료 고객 24개사 이상, 운영기간 6개월 이상</w:t>
            </w:r>
          </w:p>
        </w:tc>
      </w:tr>
      <w:tr>
        <w:trPr>
          <w:cantSplit/>
        </w:trPr>
        <w:tc>
          <w:tcPr>
            <w:tcW w:type="dxa" w:w="160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bCs/>
                <w:color w:val="262A33"/>
                <w:sz w:val="17"/>
                <w:szCs w:val="17"/>
              </w:rPr>
              <w:t xml:space="preserve">3월</w:t>
            </w:r>
          </w:p>
        </w:tc>
        <w:tc>
          <w:tcPr>
            <w:tcW w:type="dxa" w:w="34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유료 전환 마감, 투자 협의, 최종 성과 점검</w:t>
            </w:r>
          </w:p>
        </w:tc>
        <w:tc>
          <w:tcPr>
            <w:tcW w:type="dxa" w:w="1506"/>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전체 리드</w:t>
            </w:r>
          </w:p>
        </w:tc>
        <w:tc>
          <w:tcPr>
            <w:tcW w:type="dxa" w:w="3113"/>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7"/>
                <w:szCs w:val="17"/>
              </w:rPr>
              <w:t xml:space="preserve">유료 고객 28개사, 월 반복매출 65</w:t>
            </w:r>
          </w:p>
        </w:tc>
      </w:tr>
    </w:tbl>
    <w:p>
      <w:pPr>
        <w:spacing w:after="160" w:before="0" w:line="120"/>
      </w:pP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점검 방식과 대응 기준</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409"/>
        <w:gridCol w:w="2409"/>
        <w:gridCol w:w="2409"/>
        <w:gridCol w:w="2411"/>
      </w:tblGrid>
      <w:tr>
        <w:trPr>
          <w:cantSplit/>
        </w:trPr>
        <w:tc>
          <w:tcPr>
            <w:tcW w:type="dxa" w:w="2409"/>
            <w:tcBorders>
              <w:top w:val="single" w:color="0B1F4B"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매주 월요일</w:t>
            </w:r>
          </w:p>
          <w:p>
            <w:pPr>
              <w:spacing w:after="40" w:before="0" w:line="380"/>
              <w:jc w:val="left"/>
            </w:pPr>
            <w:r>
              <w:rPr>
                <w:rFonts w:ascii="맑은 고딕" w:cs="맑은 고딕" w:eastAsia="맑은 고딕" w:hAnsi="맑은 고딕"/>
                <w:b/>
                <w:bCs/>
                <w:color w:val="0B1F4B"/>
                <w:sz w:val="26"/>
                <w:szCs w:val="26"/>
              </w:rPr>
              <w:t xml:space="preserve">현금</w:t>
            </w:r>
            <w:r>
              <w:rPr>
                <w:rFonts w:ascii="맑은 고딕" w:cs="맑은 고딕" w:eastAsia="맑은 고딕" w:hAnsi="맑은 고딕"/>
                <w:b/>
                <w:bCs/>
                <w:color w:val="0B1F4B"/>
                <w:sz w:val="17"/>
                <w:szCs w:val="17"/>
              </w:rPr>
              <w:t xml:space="preserve"/>
            </w:r>
          </w:p>
          <w:p>
            <w:pPr>
              <w:spacing w:after="0" w:before="0" w:line="240"/>
              <w:jc w:val="left"/>
            </w:pPr>
            <w:r>
              <w:rPr>
                <w:rFonts w:ascii="맑은 고딕" w:cs="맑은 고딕" w:eastAsia="맑은 고딕" w:hAnsi="맑은 고딕"/>
                <w:color w:val="6B7280"/>
                <w:sz w:val="14"/>
                <w:szCs w:val="14"/>
              </w:rPr>
              <w:t xml:space="preserve">현금 잔액과 연체 채권</w:t>
            </w:r>
          </w:p>
        </w:tc>
        <w:tc>
          <w:tcPr>
            <w:tcW w:type="dxa" w:w="2409"/>
            <w:tcBorders>
              <w:top w:val="single" w:color="0B1F4B"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격주</w:t>
            </w:r>
          </w:p>
          <w:p>
            <w:pPr>
              <w:spacing w:after="40" w:before="0" w:line="380"/>
              <w:jc w:val="left"/>
            </w:pPr>
            <w:r>
              <w:rPr>
                <w:rFonts w:ascii="맑은 고딕" w:cs="맑은 고딕" w:eastAsia="맑은 고딕" w:hAnsi="맑은 고딕"/>
                <w:b/>
                <w:bCs/>
                <w:color w:val="0B1F4B"/>
                <w:sz w:val="26"/>
                <w:szCs w:val="26"/>
              </w:rPr>
              <w:t xml:space="preserve">영업</w:t>
            </w:r>
            <w:r>
              <w:rPr>
                <w:rFonts w:ascii="맑은 고딕" w:cs="맑은 고딕" w:eastAsia="맑은 고딕" w:hAnsi="맑은 고딕"/>
                <w:b/>
                <w:bCs/>
                <w:color w:val="0B1F4B"/>
                <w:sz w:val="17"/>
                <w:szCs w:val="17"/>
              </w:rPr>
              <w:t xml:space="preserve"/>
            </w:r>
          </w:p>
          <w:p>
            <w:pPr>
              <w:spacing w:after="0" w:before="0" w:line="240"/>
              <w:jc w:val="left"/>
            </w:pPr>
            <w:r>
              <w:rPr>
                <w:rFonts w:ascii="맑은 고딕" w:cs="맑은 고딕" w:eastAsia="맑은 고딕" w:hAnsi="맑은 고딕"/>
                <w:color w:val="6B7280"/>
                <w:sz w:val="14"/>
                <w:szCs w:val="14"/>
              </w:rPr>
              <w:t xml:space="preserve">영업 단계별 전환</w:t>
            </w:r>
          </w:p>
        </w:tc>
        <w:tc>
          <w:tcPr>
            <w:tcW w:type="dxa" w:w="2409"/>
            <w:tcBorders>
              <w:top w:val="single" w:color="0B1F4B"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매월</w:t>
            </w:r>
          </w:p>
          <w:p>
            <w:pPr>
              <w:spacing w:after="40" w:before="0" w:line="380"/>
              <w:jc w:val="left"/>
            </w:pPr>
            <w:r>
              <w:rPr>
                <w:rFonts w:ascii="맑은 고딕" w:cs="맑은 고딕" w:eastAsia="맑은 고딕" w:hAnsi="맑은 고딕"/>
                <w:b/>
                <w:bCs/>
                <w:color w:val="0B1F4B"/>
                <w:sz w:val="26"/>
                <w:szCs w:val="26"/>
              </w:rPr>
              <w:t xml:space="preserve">수익</w:t>
            </w:r>
            <w:r>
              <w:rPr>
                <w:rFonts w:ascii="맑은 고딕" w:cs="맑은 고딕" w:eastAsia="맑은 고딕" w:hAnsi="맑은 고딕"/>
                <w:b/>
                <w:bCs/>
                <w:color w:val="0B1F4B"/>
                <w:sz w:val="17"/>
                <w:szCs w:val="17"/>
              </w:rPr>
              <w:t xml:space="preserve"/>
            </w:r>
          </w:p>
          <w:p>
            <w:pPr>
              <w:spacing w:after="0" w:before="0" w:line="240"/>
              <w:jc w:val="left"/>
            </w:pPr>
            <w:r>
              <w:rPr>
                <w:rFonts w:ascii="맑은 고딕" w:cs="맑은 고딕" w:eastAsia="맑은 고딕" w:hAnsi="맑은 고딕"/>
                <w:color w:val="6B7280"/>
                <w:sz w:val="14"/>
                <w:szCs w:val="14"/>
              </w:rPr>
              <w:t xml:space="preserve">고객별 수익과 반복매출</w:t>
            </w:r>
          </w:p>
        </w:tc>
        <w:tc>
          <w:tcPr>
            <w:tcW w:type="dxa" w:w="2411"/>
            <w:tcBorders>
              <w:top w:val="single" w:color="0B1F4B" w:sz="18"/>
              <w:left w:val="single" w:color="FFFFFF" w:sz="24"/>
              <w:bottom w:val="none" w:color="FFFFFF" w:sz="0"/>
              <w:right w:val="single" w:color="FFFFFF" w:sz="24"/>
            </w:tcBorders>
            <w:shd w:fill="F3F6FB" w:color="auto" w:val="clear"/>
            <w:tcMar>
              <w:top w:type="dxa" w:w="140"/>
              <w:left w:type="dxa" w:w="150"/>
              <w:bottom w:type="dxa" w:w="140"/>
              <w:right w:type="dxa" w:w="120"/>
            </w:tcMar>
            <w:vAlign w:val="top"/>
          </w:tcPr>
          <w:p>
            <w:pPr>
              <w:spacing w:after="60" w:before="0" w:line="264"/>
              <w:jc w:val="left"/>
            </w:pPr>
            <w:r>
              <w:rPr>
                <w:rFonts w:ascii="맑은 고딕" w:cs="맑은 고딕" w:eastAsia="맑은 고딕" w:hAnsi="맑은 고딕"/>
                <w:b/>
                <w:bCs/>
                <w:color w:val="6B7280"/>
                <w:sz w:val="15"/>
                <w:szCs w:val="15"/>
              </w:rPr>
              <w:t xml:space="preserve">월 1회 운영자</w:t>
            </w:r>
          </w:p>
          <w:p>
            <w:pPr>
              <w:spacing w:after="40" w:before="0" w:line="380"/>
              <w:jc w:val="left"/>
            </w:pPr>
            <w:r>
              <w:rPr>
                <w:rFonts w:ascii="맑은 고딕" w:cs="맑은 고딕" w:eastAsia="맑은 고딕" w:hAnsi="맑은 고딕"/>
                <w:b/>
                <w:bCs/>
                <w:color w:val="2F6BFF"/>
                <w:sz w:val="26"/>
                <w:szCs w:val="26"/>
              </w:rPr>
              <w:t xml:space="preserve">증빙</w:t>
            </w:r>
            <w:r>
              <w:rPr>
                <w:rFonts w:ascii="맑은 고딕" w:cs="맑은 고딕" w:eastAsia="맑은 고딕" w:hAnsi="맑은 고딕"/>
                <w:b/>
                <w:bCs/>
                <w:color w:val="0B1F4B"/>
                <w:sz w:val="17"/>
                <w:szCs w:val="17"/>
              </w:rPr>
              <w:t xml:space="preserve"/>
            </w:r>
          </w:p>
          <w:p>
            <w:pPr>
              <w:spacing w:after="0" w:before="0" w:line="240"/>
              <w:jc w:val="left"/>
            </w:pPr>
            <w:r>
              <w:rPr>
                <w:rFonts w:ascii="맑은 고딕" w:cs="맑은 고딕" w:eastAsia="맑은 고딕" w:hAnsi="맑은 고딕"/>
                <w:color w:val="6B7280"/>
                <w:sz w:val="14"/>
                <w:szCs w:val="14"/>
              </w:rPr>
              <w:t xml:space="preserve">지연 과제 책임자와 수정 기한 기록</w:t>
            </w:r>
          </w:p>
        </w:tc>
      </w:tr>
    </w:tbl>
    <w:p>
      <w:pPr>
        <w:spacing w:after="100" w:before="0" w:line="120"/>
      </w:pPr>
    </w:p>
    <w:p>
      <w:pPr>
        <w:keepLines/>
        <w:spacing w:after="130" w:before="0" w:line="320"/>
        <w:jc w:val="both"/>
      </w:pPr>
      <w:r>
        <w:rPr>
          <w:rFonts w:ascii="맑은 고딕" w:cs="맑은 고딕" w:eastAsia="맑은 고딕" w:hAnsi="맑은 고딕"/>
          <w:b w:val="false"/>
          <w:bCs w:val="false"/>
          <w:color w:val="262A33"/>
          <w:sz w:val="19"/>
          <w:szCs w:val="19"/>
        </w:rPr>
        <w:t xml:space="preserve">매주 월요일에는 현금 잔액과 연체 채권을, 격주에는 영업 단계별 전환을, 매월에는 고객별 수익과 반복매출을 확인한다. 프로그램 운영자는 월 1회 증빙을 대조하고 지연 과제의 책임자와 수정 기한을 기록한다.</w:t>
      </w:r>
    </w:p>
    <w:p>
      <w:pPr>
        <w:keepLines/>
        <w:spacing w:after="130" w:before="0" w:line="320"/>
        <w:jc w:val="both"/>
      </w:pPr>
      <w:r>
        <w:rPr>
          <w:rFonts w:ascii="맑은 고딕" w:cs="맑은 고딕" w:eastAsia="맑은 고딕" w:hAnsi="맑은 고딕"/>
          <w:b w:val="false"/>
          <w:bCs w:val="false"/>
          <w:color w:val="262A33"/>
          <w:sz w:val="19"/>
          <w:szCs w:val="19"/>
        </w:rPr>
        <w:t xml:space="preserve">잔여 운영기간이 </w:t>
      </w:r>
      <w:r>
        <w:rPr>
          <w:rFonts w:ascii="맑은 고딕" w:cs="맑은 고딕" w:eastAsia="맑은 고딕" w:hAnsi="맑은 고딕"/>
          <w:b/>
          <w:bCs/>
          <w:color w:val="111111"/>
          <w:sz w:val="19"/>
          <w:szCs w:val="19"/>
        </w:rPr>
        <w:t xml:space="preserve">6개월 미만</w:t>
      </w:r>
      <w:r>
        <w:rPr>
          <w:rFonts w:ascii="맑은 고딕" w:cs="맑은 고딕" w:eastAsia="맑은 고딕" w:hAnsi="맑은 고딕"/>
          <w:b w:val="false"/>
          <w:bCs w:val="false"/>
          <w:color w:val="262A33"/>
          <w:sz w:val="19"/>
          <w:szCs w:val="19"/>
        </w:rPr>
        <w:t xml:space="preserve">이면 추가 채용과 선택적 마케팅 집행을 재검토한다. 2027년 1월 말까지 투자 논의가 구체화되지 않으면 투자금 유입 없이 유지 가능한 비용계획을 다시 수립한다. 투자 협의의 진행과 실제 납입은 별도 지표로 관리한다.</w:t>
      </w:r>
    </w:p>
    <w:p>
      <w:pPr>
        <w:keepLines/>
        <w:spacing w:after="130" w:before="0" w:line="320"/>
        <w:jc w:val="both"/>
      </w:pPr>
      <w:r>
        <w:rPr>
          <w:rFonts w:ascii="맑은 고딕" w:cs="맑은 고딕" w:eastAsia="맑은 고딕" w:hAnsi="맑은 고딕"/>
          <w:b w:val="false"/>
          <w:bCs w:val="false"/>
          <w:color w:val="262A33"/>
          <w:sz w:val="19"/>
          <w:szCs w:val="19"/>
        </w:rPr>
        <w:t xml:space="preserve">해외 진출, 대규모 설비 구매, 추가 인증은 이번 6개월의 우선 과제에서 제외한다. 기타 요청은 고객 데이터 보안을 유지하는 실증 환경과 격주 운영 점검이다.</w:t>
      </w:r>
    </w:p>
    <w:p>
      <w:pPr>
        <w:keepNext/>
        <w:keepLines/>
        <w:spacing w:after="40" w:before="520" w:line="320"/>
        <w:jc w:val="left"/>
      </w:pPr>
      <w:r>
        <w:rPr>
          <w:rFonts w:ascii="맑은 고딕" w:cs="맑은 고딕" w:eastAsia="맑은 고딕" w:hAnsi="맑은 고딕"/>
          <w:b/>
          <w:bCs/>
          <w:color w:val="2F6BFF"/>
          <w:spacing w:val="60"/>
          <w:sz w:val="15"/>
          <w:szCs w:val="15"/>
        </w:rPr>
        <w:t xml:space="preserve">KPI AND REVIEW</w:t>
      </w:r>
    </w:p>
    <w:p>
      <w:pPr>
        <w:pStyle w:val="Heading1"/>
        <w:keepNext/>
        <w:pBdr>
          <w:bottom w:val="single" w:color="111111" w:sz="14"/>
        </w:pBdr>
        <w:spacing w:after="260" w:before="0" w:line="300"/>
      </w:pPr>
      <w:r>
        <w:rPr>
          <w:rFonts w:ascii="맑은 고딕" w:cs="맑은 고딕" w:eastAsia="맑은 고딕" w:hAnsi="맑은 고딕"/>
          <w:b/>
          <w:bCs/>
          <w:color w:val="2F6BFF"/>
          <w:sz w:val="40"/>
          <w:szCs w:val="40"/>
        </w:rPr>
        <w:t xml:space="preserve">07  </w:t>
      </w:r>
      <w:r>
        <w:rPr>
          <w:rFonts w:ascii="맑은 고딕" w:cs="맑은 고딕" w:eastAsia="맑은 고딕" w:hAnsi="맑은 고딕"/>
          <w:b/>
          <w:bCs/>
          <w:color w:val="111111"/>
          <w:sz w:val="34"/>
          <w:szCs w:val="34"/>
        </w:rPr>
        <w:t xml:space="preserve">단기 KPI와 최종 점검 기준</w:t>
      </w:r>
    </w:p>
    <w:p>
      <w:pPr>
        <w:keepLines/>
        <w:spacing w:after="130" w:before="0" w:line="320"/>
        <w:jc w:val="both"/>
      </w:pPr>
      <w:r>
        <w:rPr>
          <w:rFonts w:ascii="맑은 고딕" w:cs="맑은 고딕" w:eastAsia="맑은 고딕" w:hAnsi="맑은 고딕"/>
          <w:b w:val="false"/>
          <w:bCs w:val="false"/>
          <w:color w:val="262A33"/>
          <w:sz w:val="19"/>
          <w:szCs w:val="19"/>
        </w:rPr>
        <w:t xml:space="preserve">기준일은 2026년 9월 30일, 종료일은 2027년 3월 31일이다. 기간 누계 지표는 프로그램 시작일에 0으로 재설정한다. 잔액과 고객 수 지표는 기준일 현재 값을 사용한다.</w:t>
      </w:r>
    </w:p>
    <w:p>
      <w:pPr>
        <w:keepNext/>
        <w:keepLines/>
        <w:spacing w:after="70" w:before="120" w:line="260"/>
        <w:jc w:val="left"/>
      </w:pPr>
      <w:r>
        <w:rPr>
          <w:rFonts w:ascii="맑은 고딕" w:cs="맑은 고딕" w:eastAsia="맑은 고딕" w:hAnsi="맑은 고딕"/>
          <w:b/>
          <w:bCs/>
          <w:color w:val="2F6BFF"/>
          <w:sz w:val="16"/>
          <w:szCs w:val="16"/>
        </w:rPr>
        <w:t xml:space="preserve">표 07-1  </w:t>
      </w:r>
      <w:r>
        <w:rPr>
          <w:rFonts w:ascii="맑은 고딕" w:cs="맑은 고딕" w:eastAsia="맑은 고딕" w:hAnsi="맑은 고딕"/>
          <w:b/>
          <w:bCs/>
          <w:color w:val="111111"/>
          <w:sz w:val="16"/>
          <w:szCs w:val="16"/>
        </w:rPr>
        <w:t xml:space="preserve">단기 KPI와 증빙</w:t>
      </w:r>
    </w:p>
    <w:tbl>
      <w:tblPr>
        <w:tblW w:type="dxa" w:w="9638"/>
        <w:tblBorders>
          <w:top w:val="single" w:color="111111" w:sz="12"/>
          <w:left w:val="none" w:color="FFFFFF" w:sz="0"/>
          <w:bottom w:val="single" w:color="111111" w:sz="12"/>
          <w:right w:val="none" w:color="FFFFFF" w:sz="0"/>
          <w:insideH w:val="single" w:color="D5DBE5" w:sz="4"/>
          <w:insideV w:val="single" w:color="FFFFFF" w:sz="4"/>
        </w:tblBorders>
      </w:tblPr>
      <w:tblGrid>
        <w:gridCol w:w="904"/>
        <w:gridCol w:w="2510"/>
        <w:gridCol w:w="1104"/>
        <w:gridCol w:w="1305"/>
        <w:gridCol w:w="1205"/>
        <w:gridCol w:w="2610"/>
      </w:tblGrid>
      <w:tr>
        <w:trPr>
          <w:cantSplit/>
          <w:tblHeader/>
        </w:trPr>
        <w:tc>
          <w:tcPr>
            <w:tcW w:type="dxa" w:w="904"/>
            <w:shd w:fill="0B1F4B" w:color="auto" w:val="clear"/>
            <w:tcMar>
              <w:top w:type="dxa" w:w="90"/>
              <w:left w:type="dxa" w:w="110"/>
              <w:bottom w:type="dxa" w:w="90"/>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분야</w:t>
            </w:r>
          </w:p>
        </w:tc>
        <w:tc>
          <w:tcPr>
            <w:tcW w:type="dxa" w:w="2510"/>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지표</w:t>
            </w:r>
          </w:p>
        </w:tc>
        <w:tc>
          <w:tcPr>
            <w:tcW w:type="dxa" w:w="1104"/>
            <w:shd w:fill="0B1F4B"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기준</w:t>
            </w:r>
          </w:p>
        </w:tc>
        <w:tc>
          <w:tcPr>
            <w:tcW w:type="dxa" w:w="1305"/>
            <w:shd w:fill="2F6BFF" w:color="auto" w:val="clear"/>
            <w:tcMar>
              <w:top w:type="dxa" w:w="90"/>
              <w:left w:type="dxa" w:w="110"/>
              <w:bottom w:type="dxa" w:w="90"/>
              <w:right w:type="dxa" w:w="110"/>
            </w:tcMar>
            <w:vAlign w:val="center"/>
          </w:tcPr>
          <w:p>
            <w:pPr>
              <w:spacing w:after="0" w:before="0" w:line="264"/>
              <w:jc w:val="right"/>
            </w:pPr>
            <w:r>
              <w:rPr>
                <w:rFonts w:ascii="맑은 고딕" w:cs="맑은 고딕" w:eastAsia="맑은 고딕" w:hAnsi="맑은 고딕"/>
                <w:b/>
                <w:bCs/>
                <w:color w:val="FFFFFF"/>
                <w:sz w:val="16"/>
                <w:szCs w:val="16"/>
              </w:rPr>
              <w:t xml:space="preserve">종료 목표</w:t>
            </w:r>
          </w:p>
        </w:tc>
        <w:tc>
          <w:tcPr>
            <w:tcW w:type="dxa" w:w="1205"/>
            <w:shd w:fill="0B1F4B" w:color="auto" w:val="clear"/>
            <w:tcMar>
              <w:top w:type="dxa" w:w="90"/>
              <w:left w:type="dxa" w:w="110"/>
              <w:bottom w:type="dxa" w:w="90"/>
              <w:right w:type="dxa" w:w="110"/>
            </w:tcMar>
            <w:vAlign w:val="center"/>
          </w:tcPr>
          <w:p>
            <w:pPr>
              <w:spacing w:after="0" w:before="0" w:line="264"/>
              <w:jc w:val="center"/>
            </w:pPr>
            <w:r>
              <w:rPr>
                <w:rFonts w:ascii="맑은 고딕" w:cs="맑은 고딕" w:eastAsia="맑은 고딕" w:hAnsi="맑은 고딕"/>
                <w:b/>
                <w:bCs/>
                <w:color w:val="FFFFFF"/>
                <w:sz w:val="16"/>
                <w:szCs w:val="16"/>
              </w:rPr>
              <w:t xml:space="preserve">책임자</w:t>
            </w:r>
          </w:p>
        </w:tc>
        <w:tc>
          <w:tcPr>
            <w:tcW w:type="dxa" w:w="2610"/>
            <w:shd w:fill="0B1F4B" w:color="auto" w:val="clear"/>
            <w:tcMar>
              <w:top w:type="dxa" w:w="90"/>
              <w:left w:type="dxa" w:w="110"/>
              <w:bottom w:type="dxa" w:w="90"/>
              <w:right w:type="dxa" w:w="110"/>
            </w:tcMar>
            <w:vAlign w:val="center"/>
          </w:tcPr>
          <w:p>
            <w:pPr>
              <w:spacing w:after="0" w:before="0" w:line="264"/>
              <w:jc w:val="left"/>
            </w:pPr>
            <w:r>
              <w:rPr>
                <w:rFonts w:ascii="맑은 고딕" w:cs="맑은 고딕" w:eastAsia="맑은 고딕" w:hAnsi="맑은 고딕"/>
                <w:b/>
                <w:bCs/>
                <w:color w:val="FFFFFF"/>
                <w:sz w:val="16"/>
                <w:szCs w:val="16"/>
              </w:rPr>
              <w:t xml:space="preserve">증빙</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매출</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프로그램 기간 인식 매출</w:t>
            </w:r>
          </w:p>
        </w:tc>
        <w:tc>
          <w:tcPr>
            <w:tcW w:type="dxa" w:w="1104"/>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0</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650</w:t>
            </w:r>
          </w:p>
        </w:tc>
        <w:tc>
          <w:tcPr>
            <w:tcW w:type="dxa" w:w="1205"/>
            <w:shd w:fill="FFFF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경영지원</w:t>
            </w:r>
          </w:p>
        </w:tc>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매출장, 계약, 세금계산서</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매출</w:t>
            </w:r>
          </w:p>
        </w:tc>
        <w:tc>
          <w:tcPr>
            <w:tcW w:type="dxa" w:w="25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활성 유료 고객</w:t>
            </w:r>
          </w:p>
        </w:tc>
        <w:tc>
          <w:tcPr>
            <w:tcW w:type="dxa" w:w="1104"/>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18개사</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28개사</w:t>
            </w:r>
          </w:p>
        </w:tc>
        <w:tc>
          <w:tcPr>
            <w:tcW w:type="dxa" w:w="1205"/>
            <w:shd w:fill="F6F8F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영업</w:t>
            </w:r>
          </w:p>
        </w:tc>
        <w:tc>
          <w:tcPr>
            <w:tcW w:type="dxa" w:w="26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계약과 결제 내역</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매출</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월 반복매출 MRR</w:t>
            </w:r>
          </w:p>
        </w:tc>
        <w:tc>
          <w:tcPr>
            <w:tcW w:type="dxa" w:w="1104"/>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42</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65</w:t>
            </w:r>
          </w:p>
        </w:tc>
        <w:tc>
          <w:tcPr>
            <w:tcW w:type="dxa" w:w="1205"/>
            <w:shd w:fill="FFFF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경영지원</w:t>
            </w:r>
          </w:p>
        </w:tc>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월별 구독 명세</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고용</w:t>
            </w:r>
          </w:p>
        </w:tc>
        <w:tc>
          <w:tcPr>
            <w:tcW w:type="dxa" w:w="25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기간 신규 채용</w:t>
            </w:r>
          </w:p>
        </w:tc>
        <w:tc>
          <w:tcPr>
            <w:tcW w:type="dxa" w:w="1104"/>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0명</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2명</w:t>
            </w:r>
          </w:p>
        </w:tc>
        <w:tc>
          <w:tcPr>
            <w:tcW w:type="dxa" w:w="1205"/>
            <w:shd w:fill="F6F8F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대표</w:t>
            </w:r>
          </w:p>
        </w:tc>
        <w:tc>
          <w:tcPr>
            <w:tcW w:type="dxa" w:w="26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근로계약, 보험 명부</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고용</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신규 지역 인재 채용</w:t>
            </w:r>
          </w:p>
        </w:tc>
        <w:tc>
          <w:tcPr>
            <w:tcW w:type="dxa" w:w="1104"/>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0명</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1명</w:t>
            </w:r>
          </w:p>
        </w:tc>
        <w:tc>
          <w:tcPr>
            <w:tcW w:type="dxa" w:w="1205"/>
            <w:shd w:fill="FFFF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대표</w:t>
            </w:r>
          </w:p>
        </w:tc>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동의 기반 자격 확인</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자금</w:t>
            </w:r>
          </w:p>
        </w:tc>
        <w:tc>
          <w:tcPr>
            <w:tcW w:type="dxa" w:w="25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기간 투자 납입</w:t>
            </w:r>
          </w:p>
        </w:tc>
        <w:tc>
          <w:tcPr>
            <w:tcW w:type="dxa" w:w="1104"/>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0</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1,500</w:t>
            </w:r>
          </w:p>
        </w:tc>
        <w:tc>
          <w:tcPr>
            <w:tcW w:type="dxa" w:w="1205"/>
            <w:shd w:fill="F6F8F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대표</w:t>
            </w:r>
          </w:p>
        </w:tc>
        <w:tc>
          <w:tcPr>
            <w:tcW w:type="dxa" w:w="26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계약, 주금 납입 증빙</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자금</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투자사 미팅</w:t>
            </w:r>
          </w:p>
        </w:tc>
        <w:tc>
          <w:tcPr>
            <w:tcW w:type="dxa" w:w="1104"/>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0회</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12회</w:t>
            </w:r>
          </w:p>
        </w:tc>
        <w:tc>
          <w:tcPr>
            <w:tcW w:type="dxa" w:w="1205"/>
            <w:shd w:fill="FFFF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대표</w:t>
            </w:r>
          </w:p>
        </w:tc>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일자, 참석자, 회의록</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영업</w:t>
            </w:r>
          </w:p>
        </w:tc>
        <w:tc>
          <w:tcPr>
            <w:tcW w:type="dxa" w:w="25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신규 유료 PoC 계약</w:t>
            </w:r>
          </w:p>
        </w:tc>
        <w:tc>
          <w:tcPr>
            <w:tcW w:type="dxa" w:w="1104"/>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0건</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6건</w:t>
            </w:r>
          </w:p>
        </w:tc>
        <w:tc>
          <w:tcPr>
            <w:tcW w:type="dxa" w:w="1205"/>
            <w:shd w:fill="F6F8F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영업</w:t>
            </w:r>
          </w:p>
        </w:tc>
        <w:tc>
          <w:tcPr>
            <w:tcW w:type="dxa" w:w="26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서명 계약, 착수금</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기술</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제품 버전</w:t>
            </w:r>
          </w:p>
        </w:tc>
        <w:tc>
          <w:tcPr>
            <w:tcW w:type="dxa" w:w="1104"/>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1.5</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2.0 출시</w:t>
            </w:r>
          </w:p>
        </w:tc>
        <w:tc>
          <w:tcPr>
            <w:tcW w:type="dxa" w:w="1205"/>
            <w:shd w:fill="FFFF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CTO</w:t>
            </w:r>
          </w:p>
        </w:tc>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배포 이력, 인수 테스트</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기술</w:t>
            </w:r>
          </w:p>
        </w:tc>
        <w:tc>
          <w:tcPr>
            <w:tcW w:type="dxa" w:w="25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표준 구축기간 중앙값</w:t>
            </w:r>
          </w:p>
        </w:tc>
        <w:tc>
          <w:tcPr>
            <w:tcW w:type="dxa" w:w="1104"/>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28일</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14일 이하</w:t>
            </w:r>
          </w:p>
        </w:tc>
        <w:tc>
          <w:tcPr>
            <w:tcW w:type="dxa" w:w="1205"/>
            <w:shd w:fill="F6F8F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운영</w:t>
            </w:r>
          </w:p>
        </w:tc>
        <w:tc>
          <w:tcPr>
            <w:tcW w:type="dxa" w:w="26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착수일, 검수일</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시장</w:t>
            </w:r>
          </w:p>
        </w:tc>
        <w:tc>
          <w:tcPr>
            <w:tcW w:type="dxa" w:w="25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월간 활성 이용자</w:t>
            </w:r>
          </w:p>
        </w:tc>
        <w:tc>
          <w:tcPr>
            <w:tcW w:type="dxa" w:w="1104"/>
            <w:shd w:fill="FFFF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180명</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320명</w:t>
            </w:r>
          </w:p>
        </w:tc>
        <w:tc>
          <w:tcPr>
            <w:tcW w:type="dxa" w:w="1205"/>
            <w:shd w:fill="FFFFFF"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운영</w:t>
            </w:r>
          </w:p>
        </w:tc>
        <w:tc>
          <w:tcPr>
            <w:tcW w:type="dxa" w:w="2610"/>
            <w:shd w:fill="FFFFFF"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중복 제거 접속 기록</w:t>
            </w:r>
          </w:p>
        </w:tc>
      </w:tr>
      <w:tr>
        <w:trPr>
          <w:cantSplit/>
        </w:trPr>
        <w:tc>
          <w:tcPr>
            <w:tcW w:type="dxa" w:w="904"/>
            <w:shd w:fill="F0F3F8"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bCs/>
                <w:color w:val="262A33"/>
                <w:sz w:val="16"/>
                <w:szCs w:val="16"/>
              </w:rPr>
              <w:t xml:space="preserve">시장</w:t>
            </w:r>
          </w:p>
        </w:tc>
        <w:tc>
          <w:tcPr>
            <w:tcW w:type="dxa" w:w="25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판매 파트너</w:t>
            </w:r>
          </w:p>
        </w:tc>
        <w:tc>
          <w:tcPr>
            <w:tcW w:type="dxa" w:w="1104"/>
            <w:shd w:fill="F6F8FB"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0개사</w:t>
            </w:r>
          </w:p>
        </w:tc>
        <w:tc>
          <w:tcPr>
            <w:tcW w:type="dxa" w:w="1305"/>
            <w:shd w:fill="EAF1FF" w:color="auto" w:val="clear"/>
            <w:tcMar>
              <w:top w:type="dxa" w:w="85"/>
              <w:left w:type="dxa" w:w="110"/>
              <w:bottom w:type="dxa" w:w="85"/>
              <w:right w:type="dxa" w:w="110"/>
            </w:tcMar>
            <w:vAlign w:val="center"/>
          </w:tcPr>
          <w:p>
            <w:pPr>
              <w:spacing w:after="0" w:before="0" w:line="264"/>
              <w:jc w:val="right"/>
            </w:pPr>
            <w:r>
              <w:rPr>
                <w:rFonts w:ascii="맑은 고딕" w:cs="맑은 고딕" w:eastAsia="맑은 고딕" w:hAnsi="맑은 고딕"/>
                <w:b w:val="false"/>
                <w:bCs w:val="false"/>
                <w:color w:val="262A33"/>
                <w:sz w:val="16"/>
                <w:szCs w:val="16"/>
              </w:rPr>
              <w:t xml:space="preserve">1개사</w:t>
            </w:r>
          </w:p>
        </w:tc>
        <w:tc>
          <w:tcPr>
            <w:tcW w:type="dxa" w:w="1205"/>
            <w:shd w:fill="F6F8FB" w:color="auto" w:val="clear"/>
            <w:tcMar>
              <w:top w:type="dxa" w:w="85"/>
              <w:left w:type="dxa" w:w="110"/>
              <w:bottom w:type="dxa" w:w="85"/>
              <w:right w:type="dxa" w:w="110"/>
            </w:tcMar>
            <w:vAlign w:val="center"/>
          </w:tcPr>
          <w:p>
            <w:pPr>
              <w:spacing w:after="0" w:before="0" w:line="264"/>
              <w:jc w:val="center"/>
            </w:pPr>
            <w:r>
              <w:rPr>
                <w:rFonts w:ascii="맑은 고딕" w:cs="맑은 고딕" w:eastAsia="맑은 고딕" w:hAnsi="맑은 고딕"/>
                <w:b w:val="false"/>
                <w:bCs w:val="false"/>
                <w:color w:val="262A33"/>
                <w:sz w:val="16"/>
                <w:szCs w:val="16"/>
              </w:rPr>
              <w:t xml:space="preserve">영업</w:t>
            </w:r>
          </w:p>
        </w:tc>
        <w:tc>
          <w:tcPr>
            <w:tcW w:type="dxa" w:w="2610"/>
            <w:shd w:fill="F6F8FB" w:color="auto" w:val="clear"/>
            <w:tcMar>
              <w:top w:type="dxa" w:w="85"/>
              <w:left w:type="dxa" w:w="110"/>
              <w:bottom w:type="dxa" w:w="85"/>
              <w:right w:type="dxa" w:w="110"/>
            </w:tcMar>
            <w:vAlign w:val="center"/>
          </w:tcPr>
          <w:p>
            <w:pPr>
              <w:spacing w:after="0" w:before="0" w:line="264"/>
              <w:jc w:val="left"/>
            </w:pPr>
            <w:r>
              <w:rPr>
                <w:rFonts w:ascii="맑은 고딕" w:cs="맑은 고딕" w:eastAsia="맑은 고딕" w:hAnsi="맑은 고딕"/>
                <w:b w:val="false"/>
                <w:bCs w:val="false"/>
                <w:color w:val="262A33"/>
                <w:sz w:val="16"/>
                <w:szCs w:val="16"/>
              </w:rPr>
              <w:t xml:space="preserve">계약, 공동 제안 이력</w:t>
            </w:r>
          </w:p>
        </w:tc>
      </w:tr>
    </w:tbl>
    <w:p>
      <w:pPr>
        <w:spacing w:after="160" w:before="0" w:line="120"/>
      </w:pPr>
    </w:p>
    <w:p>
      <w:pPr>
        <w:keepNext/>
        <w:keepLines/>
        <w:spacing w:after="70" w:before="120" w:line="260"/>
        <w:jc w:val="left"/>
      </w:pPr>
      <w:r>
        <w:rPr>
          <w:rFonts w:ascii="맑은 고딕" w:cs="맑은 고딕" w:eastAsia="맑은 고딕" w:hAnsi="맑은 고딕"/>
          <w:b/>
          <w:bCs/>
          <w:color w:val="2F6BFF"/>
          <w:sz w:val="16"/>
          <w:szCs w:val="16"/>
        </w:rPr>
        <w:t xml:space="preserve">그림 07-1  </w:t>
      </w:r>
      <w:r>
        <w:rPr>
          <w:rFonts w:ascii="맑은 고딕" w:cs="맑은 고딕" w:eastAsia="맑은 고딕" w:hAnsi="맑은 고딕"/>
          <w:b/>
          <w:bCs/>
          <w:color w:val="111111"/>
          <w:sz w:val="16"/>
          <w:szCs w:val="16"/>
        </w:rPr>
        <w:t xml:space="preserve">핵심 KPI 목표 경로</w:t>
      </w:r>
    </w:p>
    <w:p>
      <w:pPr>
        <w:keepNext/>
        <w:spacing w:after="0" w:before="60"/>
        <w:jc w:val="center"/>
      </w:pPr>
      <w:r>
        <w:drawing>
          <wp:inline distT="0" distB="0" distL="0" distR="0">
            <wp:extent cx="6124575" cy="2257425"/>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2257425"/>
                    </a:xfrm>
                    <a:prstGeom prst="rect">
                      <a:avLst/>
                    </a:prstGeom>
                  </pic:spPr>
                </pic:pic>
              </a:graphicData>
            </a:graphic>
          </wp:inline>
        </w:drawing>
      </w:r>
    </w:p>
    <w:p>
      <w:pPr>
        <w:keepLines/>
        <w:spacing w:after="180" w:before="50" w:line="240"/>
        <w:jc w:val="left"/>
      </w:pPr>
      <w:r>
        <w:rPr>
          <w:rFonts w:ascii="맑은 고딕" w:cs="맑은 고딕" w:eastAsia="맑은 고딕" w:hAnsi="맑은 고딕"/>
          <w:color w:val="9AA3AF"/>
          <w:sz w:val="14"/>
          <w:szCs w:val="14"/>
        </w:rPr>
        <w:t xml:space="preserve">자료: 한결팩토리 제출 자료(가상), ㈜포항연합기술지주 분석</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집계 규칙과 목표 연결</w:t>
      </w:r>
    </w:p>
    <w:p>
      <w:pPr>
        <w:keepLines/>
        <w:spacing w:after="130" w:before="0" w:line="320"/>
        <w:jc w:val="both"/>
      </w:pPr>
      <w:r>
        <w:rPr>
          <w:rFonts w:ascii="맑은 고딕" w:cs="맑은 고딕" w:eastAsia="맑은 고딕" w:hAnsi="맑은 고딕"/>
          <w:b w:val="false"/>
          <w:bCs w:val="false"/>
          <w:color w:val="262A33"/>
          <w:sz w:val="19"/>
          <w:szCs w:val="19"/>
        </w:rPr>
        <w:t xml:space="preserve">기간 매출 650은 2026년 4분기 270과 2027년 1분기 380의 합이다. 2026년 연간 예상 900은 9월 누적 630에 4분기 270을 더한 값이며, 프로그램 매출과 중복 합산하지 않는다. 목표 매출은 실현 전 전망치다.</w:t>
      </w:r>
    </w:p>
    <w:p>
      <w:pPr>
        <w:keepLines/>
        <w:spacing w:after="130" w:before="0" w:line="320"/>
        <w:jc w:val="both"/>
      </w:pPr>
      <w:r>
        <w:rPr>
          <w:rFonts w:ascii="맑은 고딕" w:cs="맑은 고딕" w:eastAsia="맑은 고딕" w:hAnsi="맑은 고딕"/>
          <w:b w:val="false"/>
          <w:bCs w:val="false"/>
          <w:color w:val="262A33"/>
          <w:sz w:val="19"/>
          <w:szCs w:val="19"/>
        </w:rPr>
        <w:t xml:space="preserve">유료 고객은 종료일에 계약이 유효하고 결제가 확인된 고객사다. 기존 18개사에서 신규 12개사, 이탈 2개사를 가정해 28개사를 목표로 한다. MRR은 해당 월 구독료만 포함하며 구축비와 일회성 매출은 제외한다. 신규 PoC 6건이 유료 고객 증가 12개사 전체를 의미하지 않으며, 나머지는 직접 계약으로 확보한다.</w:t>
      </w:r>
    </w:p>
    <w:p>
      <w:pPr>
        <w:keepLines/>
        <w:spacing w:after="130" w:before="0" w:line="320"/>
        <w:jc w:val="both"/>
      </w:pPr>
      <w:r>
        <w:rPr>
          <w:rFonts w:ascii="맑은 고딕" w:cs="맑은 고딕" w:eastAsia="맑은 고딕" w:hAnsi="맑은 고딕"/>
          <w:b w:val="false"/>
          <w:bCs w:val="false"/>
          <w:color w:val="262A33"/>
          <w:sz w:val="19"/>
          <w:szCs w:val="19"/>
        </w:rPr>
        <w:t xml:space="preserve">지역 인재 1명은 신규 채용 2명에 포함한다. 개발자 채용은 앞쪽의 현금 조건을 적용한다. 월간 활성 이용자는 해당 월 핵심 분석 기능을 1회 이상 사용한 외부 계정으로 정의한다. 표준 구축기간은 기간 내 검수 완료한 표준 계약만 측정하고, 미완료 계약과 표본 수를 함께 보고한다.</w:t>
      </w:r>
    </w:p>
    <w:p>
      <w:pPr>
        <w:pStyle w:val="Heading2"/>
        <w:keepNext/>
        <w:keepLines/>
        <w:pBdr>
          <w:left w:val="single" w:color="2F6BFF" w:sz="24" w:space="8"/>
        </w:pBdr>
        <w:spacing w:after="120" w:before="300" w:line="300"/>
        <w:ind w:left="170"/>
      </w:pPr>
      <w:r>
        <w:rPr>
          <w:rFonts w:ascii="맑은 고딕" w:cs="맑은 고딕" w:eastAsia="맑은 고딕" w:hAnsi="맑은 고딕"/>
          <w:b/>
          <w:bCs/>
          <w:color w:val="0B1F4B"/>
          <w:sz w:val="24"/>
          <w:szCs w:val="24"/>
        </w:rPr>
        <w:t xml:space="preserve">최종 판단과 제출 자료</w:t>
      </w:r>
    </w:p>
    <w:p>
      <w:pPr>
        <w:keepLines/>
        <w:spacing w:after="130" w:before="0" w:line="320"/>
        <w:jc w:val="both"/>
      </w:pPr>
      <w:r>
        <w:rPr>
          <w:rFonts w:ascii="맑은 고딕" w:cs="맑은 고딕" w:eastAsia="맑은 고딕" w:hAnsi="맑은 고딕"/>
          <w:b w:val="false"/>
          <w:bCs w:val="false"/>
          <w:color w:val="262A33"/>
          <w:sz w:val="19"/>
          <w:szCs w:val="19"/>
        </w:rPr>
        <w:t xml:space="preserve">성공 여부는 매출 증가와 함께 </w:t>
      </w:r>
      <w:r>
        <w:rPr>
          <w:rFonts w:ascii="맑은 고딕" w:cs="맑은 고딕" w:eastAsia="맑은 고딕" w:hAnsi="맑은 고딕"/>
          <w:b/>
          <w:bCs/>
          <w:color w:val="111111"/>
          <w:sz w:val="19"/>
          <w:szCs w:val="19"/>
        </w:rPr>
        <w:t xml:space="preserve">반복매출 확대, 구축기간 단축, 현금 관리 정착</w:t>
      </w:r>
      <w:r>
        <w:rPr>
          <w:rFonts w:ascii="맑은 고딕" w:cs="맑은 고딕" w:eastAsia="맑은 고딕" w:hAnsi="맑은 고딕"/>
          <w:b w:val="false"/>
          <w:bCs w:val="false"/>
          <w:color w:val="262A33"/>
          <w:sz w:val="19"/>
          <w:szCs w:val="19"/>
        </w:rPr>
        <w:t xml:space="preserve">을 함께 판단한다. 투자 유치와 정부지원사업 선정은 외부 결정에 영향을 받으므로 영업, 제품 과제의 완료 여부와 구분해 평가한다.</w:t>
      </w:r>
    </w:p>
    <w:p>
      <w:pPr>
        <w:keepLines/>
        <w:spacing w:after="130" w:before="0" w:line="320"/>
        <w:jc w:val="both"/>
      </w:pPr>
      <w:r>
        <w:rPr>
          <w:rFonts w:ascii="맑은 고딕" w:cs="맑은 고딕" w:eastAsia="맑은 고딕" w:hAnsi="맑은 고딕"/>
          <w:b w:val="false"/>
          <w:bCs w:val="false"/>
          <w:color w:val="262A33"/>
          <w:sz w:val="19"/>
          <w:szCs w:val="19"/>
        </w:rPr>
        <w:t xml:space="preserve">실제 진단으로 전환할 때는 사업자등록증, 등기부, 주주명부, 최근 2개년 재무제표, 월별 원장, 고객, 계약 목록, 인력 현황, 권리 증빙, IR 자료를 확보한다. 본 예시에는 실물 증빙과 사실확인 서명을 첨부하지 않았다.</w:t>
      </w:r>
    </w:p>
    <w:p>
      <w:pPr>
        <w:spacing w:after="80" w:before="0" w:line="120"/>
      </w:pPr>
    </w:p>
    <w:tbl>
      <w:tblPr>
        <w:tblW w:type="dxa" w:w="9638"/>
        <w:tblBorders>
          <w:top w:val="single" w:color="111111" w:sz="12"/>
          <w:left w:val="none" w:color="FFFFFF" w:sz="0"/>
          <w:bottom w:val="single" w:color="111111" w:sz="12"/>
          <w:right w:val="none" w:color="FFFFFF" w:sz="0"/>
          <w:insideH w:val="none" w:color="FFFFFF" w:sz="0"/>
          <w:insideV w:val="none" w:color="FFFFFF" w:sz="0"/>
        </w:tblBorders>
      </w:tblPr>
      <w:tblGrid>
        <w:gridCol w:w="9638"/>
      </w:tblGrid>
      <w:tr>
        <w:trPr>
          <w:cantSplit/>
        </w:trPr>
        <w:tc>
          <w:tcPr>
            <w:tcW w:type="dxa" w:w="9638"/>
            <w:shd w:fill="F6F8FB" w:color="auto" w:val="clear"/>
            <w:tcMar>
              <w:top w:type="dxa" w:w="110"/>
              <w:left w:type="dxa" w:w="200"/>
              <w:bottom w:type="dxa" w:w="110"/>
              <w:right w:type="dxa" w:w="200"/>
            </w:tcMar>
            <w:vAlign w:val="center"/>
          </w:tcPr>
          <w:p>
            <w:pPr>
              <w:tabs>
                <w:tab w:val="right" w:pos="9238"/>
              </w:tabs>
              <w:spacing w:after="60"/>
            </w:pPr>
            <w:r>
              <w:rPr>
                <w:rFonts w:ascii="맑은 고딕" w:cs="맑은 고딕" w:eastAsia="맑은 고딕" w:hAnsi="맑은 고딕"/>
                <w:b/>
                <w:bCs/>
                <w:color w:val="111111"/>
                <w:sz w:val="15"/>
                <w:szCs w:val="15"/>
              </w:rPr>
              <w:t xml:space="preserve">고지 사항  </w:t>
            </w:r>
            <w:r>
              <w:rPr>
                <w:rFonts w:ascii="맑은 고딕" w:cs="맑은 고딕" w:eastAsia="맑은 고딕" w:hAnsi="맑은 고딕"/>
                <w:b/>
                <w:bCs/>
                <w:color w:val="2F6BFF"/>
                <w:spacing w:val="40"/>
                <w:sz w:val="13"/>
                <w:szCs w:val="13"/>
              </w:rPr>
              <w:t xml:space="preserve">DISCLAIMER</w:t>
            </w:r>
            <w:r>
              <w:rPr>
                <w:rFonts w:ascii="맑은 고딕" w:cs="맑은 고딕" w:eastAsia="맑은 고딕" w:hAnsi="맑은 고딕"/>
                <w:color w:val="262A33"/>
                <w:sz w:val="15"/>
                <w:szCs w:val="15"/>
              </w:rPr>
              <w:t xml:space="preserve">	</w:t>
            </w:r>
            <w:r>
              <w:rPr>
                <w:rFonts w:ascii="맑은 고딕" w:cs="맑은 고딕" w:eastAsia="맑은 고딕" w:hAnsi="맑은 고딕"/>
                <w:b/>
                <w:bCs/>
                <w:color w:val="111111"/>
                <w:sz w:val="17"/>
                <w:szCs w:val="17"/>
              </w:rPr>
              <w:t xml:space="preserve">㈜포항연합기술지주</w:t>
            </w:r>
            <w:r>
              <w:rPr>
                <w:rFonts w:ascii="맑은 고딕" w:cs="맑은 고딕" w:eastAsia="맑은 고딕" w:hAnsi="맑은 고딕"/>
                <w:color w:val="6B7280"/>
                <w:sz w:val="13"/>
                <w:szCs w:val="13"/>
              </w:rPr>
              <w:t xml:space="preserve">  Pohang United Technology Holdings</w:t>
            </w:r>
          </w:p>
          <w:p>
            <w:pPr>
              <w:spacing w:after="0" w:before="0" w:line="250"/>
              <w:jc w:val="left"/>
            </w:pPr>
            <w:r>
              <w:rPr>
                <w:rFonts w:ascii="맑은 고딕" w:cs="맑은 고딕" w:eastAsia="맑은 고딕" w:hAnsi="맑은 고딕"/>
                <w:b w:val="false"/>
                <w:bCs w:val="false"/>
                <w:color w:val="6B7280"/>
                <w:sz w:val="14"/>
                <w:szCs w:val="14"/>
              </w:rPr>
              <w:t xml:space="preserve">본 보고서는 ㈜포항연합기술지주가 액셀러레이팅 프로그램 운영을 위해 작성한 예시 자료입니다. 보고서에 포함된 기업, 인물, 재무수치, 고객 실적, 평가 결과는 모두 가상이며, 특정 기업에 대한 실사, 투자 권유, 신용 평가 자료로 사용할 수 없습니다. 보고서의 판정은 내부 개선 우선순위를 나타내며 공인 등급이 아닙니다. 본 보고서의 저작권은 ㈜포항연합기술지주에 있으며, 사전 서면 동의 없이 복제, 배포, 인용할 수 없습니다.</w:t>
            </w:r>
          </w:p>
        </w:tc>
      </w:tr>
    </w:tbl>
    <w:sectPr>
      <w:headerReference w:type="default" r:id="rId6"/>
      <w:footerReference w:type="default" r:id="rId7"/>
      <w:type w:val="nextPage"/>
      <w:pgSz w:w="11906" w:h="16838" w:orient="portrait"/>
      <w:pgMar w:top="1250" w:right="1134" w:bottom="1080" w:left="1134" w:header="620" w:footer="520" w:gutter="0"/>
      <w:pgNumType w:start="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11111" w:sz="8"/>
      </w:pBdr>
      <w:tabs>
        <w:tab w:val="right" w:pos="9638"/>
      </w:tabs>
      <w:spacing w:before="0"/>
    </w:pPr>
    <w:r>
      <w:rPr>
        <w:rFonts w:ascii="맑은 고딕" w:cs="맑은 고딕" w:eastAsia="맑은 고딕" w:hAnsi="맑은 고딕"/>
        <w:color w:val="9AA3AF"/>
        <w:sz w:val="14"/>
        <w:szCs w:val="14"/>
      </w:rPr>
      <w:t xml:space="preserve">㈜포항연합기술지주  |  가상 기업 보고서  |  무단 복제 및 배포 금지</w:t>
    </w:r>
    <w:r>
      <w:rPr>
        <w:rFonts w:ascii="맑은 고딕" w:cs="맑은 고딕" w:eastAsia="맑은 고딕" w:hAnsi="맑은 고딕"/>
        <w:color w:val="262A33"/>
        <w:sz w:val="14"/>
        <w:szCs w:val="14"/>
      </w:rPr>
      <w:t xml:space="preserve">	</w:t>
    </w:r>
    <w:r>
      <w:rPr>
        <w:rFonts w:ascii="맑은 고딕" w:cs="맑은 고딕" w:eastAsia="맑은 고딕" w:hAnsi="맑은 고딕"/>
        <w:b/>
        <w:bCs/>
        <w:color w:val="111111"/>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BE5" w:sz="6"/>
      </w:pBdr>
      <w:tabs>
        <w:tab w:val="right" w:pos="9638"/>
      </w:tabs>
      <w:spacing w:after="0"/>
    </w:pPr>
    <w:r>
      <w:rPr>
        <w:rFonts w:ascii="맑은 고딕" w:cs="맑은 고딕" w:eastAsia="맑은 고딕" w:hAnsi="맑은 고딕"/>
        <w:b/>
        <w:bCs/>
        <w:color w:val="111111"/>
        <w:sz w:val="15"/>
        <w:szCs w:val="15"/>
      </w:rPr>
      <w:t xml:space="preserve">한결팩토리</w:t>
    </w:r>
    <w:r>
      <w:rPr>
        <w:rFonts w:ascii="맑은 고딕" w:cs="맑은 고딕" w:eastAsia="맑은 고딕" w:hAnsi="맑은 고딕"/>
        <w:color w:val="6B7280"/>
        <w:sz w:val="15"/>
        <w:szCs w:val="15"/>
      </w:rPr>
      <w:t xml:space="preserve">   기업 경영진단 분석 보고서</w:t>
    </w:r>
    <w:r>
      <w:rPr>
        <w:rFonts w:ascii="맑은 고딕" w:cs="맑은 고딕" w:eastAsia="맑은 고딕" w:hAnsi="맑은 고딕"/>
        <w:color w:val="262A33"/>
        <w:sz w:val="15"/>
        <w:szCs w:val="15"/>
      </w:rPr>
      <w:t xml:space="preserve">	</w:t>
    </w:r>
    <w:r>
      <w:rPr>
        <w:rFonts w:ascii="맑은 고딕" w:cs="맑은 고딕" w:eastAsia="맑은 고딕" w:hAnsi="맑은 고딕"/>
        <w:b/>
        <w:bCs/>
        <w:color w:val="0B1F4B"/>
        <w:spacing w:val="30"/>
        <w:sz w:val="14"/>
        <w:szCs w:val="14"/>
      </w:rPr>
      <w:t xml:space="preserve">POHANG UNITED TECHNOLOGY HOLDINGS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맑은 고딕" w:cs="맑은 고딕" w:eastAsia="맑은 고딕" w:hAnsi="맑은 고딕"/>
        <w:color w:val="262A33"/>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맑은 고딕" w:cs="맑은 고딕" w:eastAsia="맑은 고딕" w:hAnsi="맑은 고딕"/>
      <w:b/>
      <w:bCs/>
      <w:color w:val="111111"/>
      <w:sz w:val="34"/>
      <w:szCs w:val="34"/>
    </w:rPr>
  </w:style>
  <w:style w:type="paragraph" w:styleId="Heading2">
    <w:name w:val="Heading 2"/>
    <w:basedOn w:val="Normal"/>
    <w:next w:val="Normal"/>
    <w:qFormat/>
    <w:pPr>
      <w:outlineLvl w:val="1"/>
    </w:pPr>
    <w:rPr>
      <w:rFonts w:ascii="맑은 고딕" w:cs="맑은 고딕" w:eastAsia="맑은 고딕" w:hAnsi="맑은 고딕"/>
      <w:b/>
      <w:bCs/>
      <w:color w:val="0B1F4B"/>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ed558acda2f112ef521c08426e2e1d63c1607b65.png"/><Relationship Id="rId10" Type="http://schemas.openxmlformats.org/officeDocument/2006/relationships/image" Target="media/d6d4524dfa733d8bfa43db0b4ebdd4d7ea1bf7df.png"/><Relationship Id="rId11" Type="http://schemas.openxmlformats.org/officeDocument/2006/relationships/image" Target="media/bccf581f540d447aa41013841c852b214e537e1f.png"/><Relationship Id="rId12" Type="http://schemas.openxmlformats.org/officeDocument/2006/relationships/image" Target="media/d8d296bc88d0292fe219d5f766d09b9daa9b1338.png"/><Relationship Id="rId13" Type="http://schemas.openxmlformats.org/officeDocument/2006/relationships/image" Target="media/7441e0c4c9cbd951b4a177ebc5bae5c94e005532.png"/><Relationship Id="rId14" Type="http://schemas.openxmlformats.org/officeDocument/2006/relationships/image" Target="media/d10b3c2ef05beee0bb6c218cc0aa8c1f6e5c0461.png"/><Relationship Id="rId15" Type="http://schemas.openxmlformats.org/officeDocument/2006/relationships/image" Target="media/46a59ca8bb1b05960c38e8f46dff96f83f1002bd.png"/><Relationship Id="rId16" Type="http://schemas.openxmlformats.org/officeDocument/2006/relationships/image" Target="media/66439438a826d4af39958a277d3921dd3ca00a77.png"/><Relationship Id="rId17" Type="http://schemas.openxmlformats.org/officeDocument/2006/relationships/image" Target="media/962f9cbd210b4d16d99ee185d4d32cd74856563e.png"/><Relationship Id="rId18" Type="http://schemas.openxmlformats.org/officeDocument/2006/relationships/image" Target="media/85139ffe4dafce24cbacbac4771c38f007693022.png"/><Relationship Id="rId19" Type="http://schemas.openxmlformats.org/officeDocument/2006/relationships/image" Target="media/ef025678cfaff2b437681cff9a52b6de70ab6282.png"/><Relationship Id="rId20" Type="http://schemas.openxmlformats.org/officeDocument/2006/relationships/image" Target="media/6dfbf345d335a94f2cbcf17dc5479750ae3b45a8.png"/><Relationship Id="rId21" Type="http://schemas.openxmlformats.org/officeDocument/2006/relationships/image" Target="media/abd892751d4e0dfd7261baec6dec9493fe3200d2.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한결팩토리 기업 경영진단 분석 보고서</dc:title>
  <dc:creator>㈜포항연합기술지주</dc:creator>
  <dc:description>포항연합기술지주 기업 경영진단 분석 보고서 (가상 예시)</dc:description>
  <cp:lastModifiedBy>Un-named</cp:lastModifiedBy>
  <cp:revision>1</cp:revision>
  <dcterms:created xsi:type="dcterms:W3CDTF">2026-10-28T05:53:27.153Z</dcterms:created>
  <dcterms:modified xsi:type="dcterms:W3CDTF">2026-10-28T05:53:27.153Z</dcterms:modified>
</cp:coreProperties>
</file>

<file path=docProps/custom.xml><?xml version="1.0" encoding="utf-8"?>
<Properties xmlns="http://schemas.openxmlformats.org/officeDocument/2006/custom-properties" xmlns:vt="http://schemas.openxmlformats.org/officeDocument/2006/docPropsVTypes"/>
</file>